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61A" w:rsidRDefault="00432BF3" w:rsidP="00396CF7">
      <w:pPr>
        <w:pStyle w:val="SectionTitle"/>
        <w:rPr>
          <w:sz w:val="24"/>
          <w:szCs w:val="24"/>
        </w:rPr>
      </w:pPr>
      <w:r>
        <w:rPr>
          <w:b w:val="0"/>
          <w:noProof/>
          <w:lang w:val="fr-BE" w:eastAsia="fr-BE" w:bidi="ar-SA"/>
        </w:rPr>
        <w:drawing>
          <wp:inline distT="0" distB="0" distL="0" distR="0">
            <wp:extent cx="2009775" cy="1400175"/>
            <wp:effectExtent l="0" t="0" r="9525" b="9525"/>
            <wp:docPr id="1" name="Picture 1" descr="logo_ce-en-rvb-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e-en-rvb-l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9775" cy="1400175"/>
                    </a:xfrm>
                    <a:prstGeom prst="rect">
                      <a:avLst/>
                    </a:prstGeom>
                    <a:noFill/>
                    <a:ln>
                      <a:noFill/>
                    </a:ln>
                  </pic:spPr>
                </pic:pic>
              </a:graphicData>
            </a:graphic>
          </wp:inline>
        </w:drawing>
      </w:r>
    </w:p>
    <w:p w:rsidR="0017461A" w:rsidRPr="00AC2CA0" w:rsidRDefault="0017461A" w:rsidP="00396CF7">
      <w:pPr>
        <w:pStyle w:val="SectionTitle"/>
        <w:rPr>
          <w:rFonts w:ascii="Verdana" w:hAnsi="Verdana"/>
          <w:color w:val="365F91"/>
          <w:sz w:val="24"/>
          <w:szCs w:val="24"/>
        </w:rPr>
      </w:pPr>
      <w:r>
        <w:rPr>
          <w:rFonts w:ascii="Verdana" w:hAnsi="Verdana"/>
          <w:color w:val="365F91"/>
          <w:sz w:val="24"/>
        </w:rPr>
        <w:t>EUROPA CREATIVA (2014-2020)</w:t>
      </w:r>
    </w:p>
    <w:p w:rsidR="0017461A" w:rsidRPr="00AC2CA0" w:rsidRDefault="0017461A" w:rsidP="00396CF7">
      <w:pPr>
        <w:pStyle w:val="SectionTitle"/>
        <w:rPr>
          <w:rFonts w:ascii="Verdana" w:hAnsi="Verdana"/>
          <w:color w:val="365F91"/>
          <w:sz w:val="24"/>
          <w:szCs w:val="24"/>
        </w:rPr>
      </w:pPr>
      <w:r>
        <w:rPr>
          <w:rFonts w:ascii="Verdana" w:hAnsi="Verdana"/>
          <w:color w:val="365F91"/>
          <w:sz w:val="24"/>
        </w:rPr>
        <w:t>Sottoprogramma MEDIA</w:t>
      </w:r>
    </w:p>
    <w:p w:rsidR="0017461A" w:rsidRPr="0017461A" w:rsidRDefault="0017461A" w:rsidP="00396CF7">
      <w:pPr>
        <w:pStyle w:val="SectionTitle"/>
        <w:rPr>
          <w:sz w:val="24"/>
          <w:szCs w:val="24"/>
        </w:rPr>
      </w:pPr>
      <w:r>
        <w:rPr>
          <w:sz w:val="24"/>
        </w:rPr>
        <w:t xml:space="preserve">Invito a presentare proposte </w:t>
      </w:r>
    </w:p>
    <w:p w:rsidR="001619A7" w:rsidRPr="0017461A" w:rsidRDefault="001619A7" w:rsidP="00396CF7">
      <w:pPr>
        <w:pStyle w:val="SectionTitle"/>
        <w:rPr>
          <w:bCs/>
          <w:iCs/>
          <w:sz w:val="24"/>
          <w:szCs w:val="24"/>
        </w:rPr>
      </w:pPr>
      <w:r>
        <w:rPr>
          <w:sz w:val="24"/>
        </w:rPr>
        <w:t>EACEA 19/2015: Sostegno allo svi</w:t>
      </w:r>
      <w:r w:rsidR="00B17034">
        <w:rPr>
          <w:sz w:val="24"/>
        </w:rPr>
        <w:t>luppo di pacchetti di progetti</w:t>
      </w:r>
      <w:bookmarkStart w:id="0" w:name="_GoBack"/>
      <w:bookmarkEnd w:id="0"/>
      <w:r>
        <w:rPr>
          <w:sz w:val="24"/>
          <w:szCs w:val="24"/>
        </w:rPr>
        <w:br/>
      </w:r>
      <w:r>
        <w:rPr>
          <w:sz w:val="24"/>
        </w:rPr>
        <w:t>(Slate Funding)</w:t>
      </w:r>
    </w:p>
    <w:p w:rsidR="0068309E" w:rsidRPr="0034799A" w:rsidRDefault="0068309E" w:rsidP="00396CF7">
      <w:pPr>
        <w:suppressAutoHyphens/>
        <w:jc w:val="both"/>
        <w:rPr>
          <w:b/>
          <w:smallCaps/>
          <w:sz w:val="22"/>
          <w:szCs w:val="22"/>
        </w:rPr>
      </w:pPr>
    </w:p>
    <w:p w:rsidR="00F915A1" w:rsidRPr="00C87405" w:rsidRDefault="00F915A1" w:rsidP="00396CF7">
      <w:pPr>
        <w:keepNext/>
        <w:spacing w:after="200"/>
        <w:jc w:val="both"/>
        <w:rPr>
          <w:rFonts w:eastAsia="Calibri"/>
          <w:b/>
          <w:sz w:val="22"/>
          <w:szCs w:val="22"/>
        </w:rPr>
      </w:pPr>
      <w:r>
        <w:rPr>
          <w:b/>
          <w:sz w:val="22"/>
        </w:rPr>
        <w:t>AVVERTENZA</w:t>
      </w:r>
    </w:p>
    <w:p w:rsidR="00E94CCD" w:rsidRPr="00235D1C" w:rsidRDefault="00E94CCD" w:rsidP="00396CF7">
      <w:pPr>
        <w:jc w:val="both"/>
        <w:rPr>
          <w:sz w:val="22"/>
          <w:szCs w:val="22"/>
        </w:rPr>
      </w:pPr>
      <w:r>
        <w:rPr>
          <w:sz w:val="22"/>
        </w:rPr>
        <w:t>Il presente invito a presentare proposte è subordinato alla disponibilità dei fondi dopo l'adozione del bilancio per il 2016 da parte dell'autorità di bilancio.</w:t>
      </w:r>
    </w:p>
    <w:p w:rsidR="00F915A1" w:rsidRPr="00C87405" w:rsidRDefault="00F915A1" w:rsidP="00396CF7">
      <w:pPr>
        <w:suppressAutoHyphens/>
        <w:jc w:val="both"/>
        <w:rPr>
          <w:b/>
          <w:smallCaps/>
          <w:sz w:val="22"/>
          <w:szCs w:val="22"/>
        </w:rPr>
      </w:pPr>
    </w:p>
    <w:p w:rsidR="00E94CCD" w:rsidRPr="00E94CCD" w:rsidRDefault="00BD2185" w:rsidP="00396CF7">
      <w:pPr>
        <w:pStyle w:val="Titre1"/>
        <w:jc w:val="left"/>
        <w:rPr>
          <w:sz w:val="22"/>
          <w:szCs w:val="22"/>
        </w:rPr>
      </w:pPr>
      <w:r>
        <w:rPr>
          <w:sz w:val="22"/>
        </w:rPr>
        <w:t>Obiettivi e descrizione</w:t>
      </w:r>
    </w:p>
    <w:p w:rsidR="00E94CCD" w:rsidRDefault="00E94CCD" w:rsidP="00396CF7">
      <w:pPr>
        <w:pStyle w:val="Text1"/>
        <w:ind w:left="0"/>
        <w:rPr>
          <w:sz w:val="22"/>
          <w:szCs w:val="22"/>
        </w:rPr>
      </w:pPr>
      <w:r>
        <w:rPr>
          <w:sz w:val="22"/>
        </w:rPr>
        <w:t>Il presente avviso si basa sul regolamento n. 1295/2013 del Parlamento europeo e del Consiglio, dell'11 dicembre 2013, che istituisce il programma Europa creativa (2014-2020) e sulla sua rettifica del 27 giugno 2014</w:t>
      </w:r>
      <w:r>
        <w:rPr>
          <w:sz w:val="22"/>
          <w:vertAlign w:val="superscript"/>
        </w:rPr>
        <w:footnoteReference w:id="1"/>
      </w:r>
      <w:r>
        <w:rPr>
          <w:sz w:val="22"/>
        </w:rPr>
        <w:t>.</w:t>
      </w:r>
    </w:p>
    <w:p w:rsidR="00F915A1" w:rsidRPr="00C87405" w:rsidRDefault="00F915A1" w:rsidP="00396CF7">
      <w:pPr>
        <w:pStyle w:val="Text1"/>
        <w:ind w:left="0"/>
        <w:rPr>
          <w:sz w:val="22"/>
          <w:szCs w:val="22"/>
        </w:rPr>
      </w:pPr>
      <w:r>
        <w:rPr>
          <w:sz w:val="22"/>
        </w:rPr>
        <w:t>Nell'ambito del rafforzamento delle capacità del settore audiovisivo, una delle priorità del sottoprogramma MEDIA è:</w:t>
      </w:r>
    </w:p>
    <w:p w:rsidR="00F915A1" w:rsidRPr="00C87405" w:rsidRDefault="00F915A1" w:rsidP="00396CF7">
      <w:pPr>
        <w:pStyle w:val="Text1"/>
        <w:numPr>
          <w:ilvl w:val="0"/>
          <w:numId w:val="13"/>
        </w:numPr>
        <w:rPr>
          <w:sz w:val="22"/>
          <w:szCs w:val="22"/>
        </w:rPr>
      </w:pPr>
      <w:r>
        <w:rPr>
          <w:sz w:val="22"/>
        </w:rPr>
        <w:t>aumentare la capacità dei produttori audiovisivi di sviluppare progetti europei che abbiano le potenzialità per circolare nell'Unione e nel mondo e di agevolare le coproduzioni europee e internazionali.</w:t>
      </w:r>
    </w:p>
    <w:p w:rsidR="00F915A1" w:rsidRPr="00C87405" w:rsidRDefault="00F915A1" w:rsidP="00396CF7">
      <w:pPr>
        <w:pStyle w:val="Text1"/>
        <w:ind w:left="0"/>
        <w:rPr>
          <w:sz w:val="22"/>
          <w:szCs w:val="22"/>
        </w:rPr>
      </w:pPr>
      <w:r>
        <w:rPr>
          <w:sz w:val="22"/>
        </w:rPr>
        <w:t>Il sottoprogramma MEDIA fornisce sostegno per:</w:t>
      </w:r>
    </w:p>
    <w:p w:rsidR="00F915A1" w:rsidRPr="00C87405" w:rsidRDefault="00F915A1" w:rsidP="00396CF7">
      <w:pPr>
        <w:pStyle w:val="Text1"/>
        <w:numPr>
          <w:ilvl w:val="0"/>
          <w:numId w:val="13"/>
        </w:numPr>
        <w:ind w:left="357" w:hanging="357"/>
        <w:rPr>
          <w:sz w:val="22"/>
          <w:szCs w:val="22"/>
        </w:rPr>
      </w:pPr>
      <w:r>
        <w:rPr>
          <w:sz w:val="22"/>
        </w:rPr>
        <w:t>lo sviluppo di opere audiovisive europee, in particolare film e opere televisive quali fiction, documentari, film per bambini e di animazione, nonché opere interattive tra cui videogiochi e contenuti multimediali, caratterizzate da maggiori potenzialità di circolazione transfrontaliera;</w:t>
      </w:r>
    </w:p>
    <w:p w:rsidR="00F915A1" w:rsidRPr="00C87405" w:rsidRDefault="00F915A1" w:rsidP="00396CF7">
      <w:pPr>
        <w:pStyle w:val="Text1"/>
        <w:numPr>
          <w:ilvl w:val="0"/>
          <w:numId w:val="13"/>
        </w:numPr>
        <w:rPr>
          <w:sz w:val="22"/>
          <w:szCs w:val="22"/>
        </w:rPr>
      </w:pPr>
      <w:r>
        <w:rPr>
          <w:sz w:val="22"/>
        </w:rPr>
        <w:t>le attività volte a sostenere le società europee di produzione audiovisiva, segnatamente quelle indipendenti, al fine di facilitare le coproduzioni europee e internazionali di opere audiovisive, anche televisive.</w:t>
      </w:r>
    </w:p>
    <w:p w:rsidR="0048665C" w:rsidRPr="00C87405" w:rsidRDefault="0048665C" w:rsidP="00396CF7">
      <w:pPr>
        <w:pStyle w:val="Titre1"/>
        <w:jc w:val="left"/>
        <w:rPr>
          <w:sz w:val="22"/>
          <w:szCs w:val="22"/>
        </w:rPr>
      </w:pPr>
      <w:r>
        <w:rPr>
          <w:sz w:val="22"/>
        </w:rPr>
        <w:lastRenderedPageBreak/>
        <w:t>Candidati ammissibili</w:t>
      </w:r>
    </w:p>
    <w:p w:rsidR="00F915A1" w:rsidRPr="00C87405" w:rsidRDefault="00BD2185" w:rsidP="00396CF7">
      <w:pPr>
        <w:rPr>
          <w:rFonts w:eastAsia="Arial Unicode MS"/>
          <w:sz w:val="22"/>
          <w:szCs w:val="22"/>
        </w:rPr>
      </w:pPr>
      <w:r>
        <w:rPr>
          <w:sz w:val="22"/>
        </w:rPr>
        <w:t>Il presente avviso di invito a presentare proposte si rivolge alle società europee le cui attività contribuiscono al conseguimento degli obiettivi di cui sopra, e in particolare a società di produzione audiovisiva indipendenti che siano state legalmente costituite almeno 36 mesi prima della data di presentazione e che siano in grado di dimostrare un recente successo.</w:t>
      </w:r>
    </w:p>
    <w:p w:rsidR="004D2724" w:rsidRPr="00C87405" w:rsidRDefault="004D2724" w:rsidP="00396CF7">
      <w:pPr>
        <w:spacing w:after="120"/>
        <w:jc w:val="both"/>
        <w:rPr>
          <w:sz w:val="22"/>
          <w:szCs w:val="22"/>
        </w:rPr>
      </w:pPr>
      <w:r>
        <w:rPr>
          <w:noProof/>
          <w:sz w:val="22"/>
        </w:rPr>
        <w:t xml:space="preserve">Sono ammissibili le candidature presentate da persone giuridiche stabilite in uno dei seguenti paesi, purché siano soddisfatte tutte le condizioni di cui all'articolo 8 del regolamento che istituisce il programma Europa creativa: </w:t>
      </w:r>
    </w:p>
    <w:p w:rsidR="004D2724" w:rsidRPr="00C87405" w:rsidRDefault="004D2724" w:rsidP="00396CF7">
      <w:pPr>
        <w:numPr>
          <w:ilvl w:val="0"/>
          <w:numId w:val="15"/>
        </w:numPr>
        <w:tabs>
          <w:tab w:val="left" w:pos="706"/>
        </w:tabs>
        <w:spacing w:after="88"/>
        <w:jc w:val="both"/>
        <w:rPr>
          <w:color w:val="000000"/>
          <w:sz w:val="22"/>
          <w:szCs w:val="22"/>
        </w:rPr>
      </w:pPr>
      <w:r>
        <w:rPr>
          <w:color w:val="000000"/>
          <w:sz w:val="22"/>
        </w:rPr>
        <w:t>gli Stati membri dell'UE;</w:t>
      </w:r>
    </w:p>
    <w:p w:rsidR="004D2724" w:rsidRPr="00C87405" w:rsidRDefault="004D2724" w:rsidP="006D410C">
      <w:pPr>
        <w:numPr>
          <w:ilvl w:val="0"/>
          <w:numId w:val="15"/>
        </w:numPr>
        <w:tabs>
          <w:tab w:val="left" w:pos="710"/>
        </w:tabs>
        <w:spacing w:after="88"/>
        <w:jc w:val="both"/>
        <w:rPr>
          <w:color w:val="000000"/>
          <w:sz w:val="22"/>
          <w:szCs w:val="22"/>
        </w:rPr>
      </w:pPr>
      <w:r>
        <w:rPr>
          <w:color w:val="000000"/>
          <w:sz w:val="22"/>
        </w:rPr>
        <w:t>i paesi in fase di adesione e i paesi candidati effettivi e potenziali che beneficiano di una strategia di preadesione, conformemente ai principi generali e alle condizioni generali per la partecipazione di tali paesi ai programmi dell'Unione istituiti a norma dei rispettivi accordi quadro, di decisioni dei consigli di associazione o di accordi analoghi;</w:t>
      </w:r>
    </w:p>
    <w:p w:rsidR="004D2724" w:rsidRPr="00C87405" w:rsidRDefault="004D2724" w:rsidP="006D410C">
      <w:pPr>
        <w:numPr>
          <w:ilvl w:val="0"/>
          <w:numId w:val="15"/>
        </w:numPr>
        <w:tabs>
          <w:tab w:val="left" w:pos="706"/>
        </w:tabs>
        <w:spacing w:after="88"/>
        <w:jc w:val="both"/>
        <w:rPr>
          <w:color w:val="000000"/>
          <w:sz w:val="22"/>
          <w:szCs w:val="22"/>
        </w:rPr>
      </w:pPr>
      <w:r>
        <w:rPr>
          <w:color w:val="000000"/>
          <w:sz w:val="22"/>
        </w:rPr>
        <w:t>i paesi EFTA membri del SEE, conformemente alle disposizioni dell'accordo SEE;</w:t>
      </w:r>
    </w:p>
    <w:p w:rsidR="004D2724" w:rsidRPr="00C87405" w:rsidRDefault="004D2724" w:rsidP="006D410C">
      <w:pPr>
        <w:numPr>
          <w:ilvl w:val="0"/>
          <w:numId w:val="15"/>
        </w:numPr>
        <w:tabs>
          <w:tab w:val="left" w:pos="715"/>
        </w:tabs>
        <w:spacing w:after="88"/>
        <w:jc w:val="both"/>
        <w:rPr>
          <w:color w:val="000000"/>
          <w:sz w:val="22"/>
          <w:szCs w:val="22"/>
        </w:rPr>
      </w:pPr>
      <w:r>
        <w:tab/>
      </w:r>
      <w:r>
        <w:rPr>
          <w:color w:val="000000"/>
          <w:sz w:val="22"/>
        </w:rPr>
        <w:t>la Confederazione svizzera, in forza di un accordo bilaterale da concludere con tale paese;</w:t>
      </w:r>
    </w:p>
    <w:p w:rsidR="004D2724" w:rsidRPr="00C87405" w:rsidRDefault="006E7AA2" w:rsidP="006D410C">
      <w:pPr>
        <w:numPr>
          <w:ilvl w:val="0"/>
          <w:numId w:val="15"/>
        </w:numPr>
        <w:tabs>
          <w:tab w:val="left" w:pos="715"/>
        </w:tabs>
        <w:spacing w:after="88"/>
        <w:jc w:val="both"/>
        <w:rPr>
          <w:color w:val="000000"/>
          <w:sz w:val="22"/>
          <w:szCs w:val="22"/>
        </w:rPr>
      </w:pPr>
      <w:r>
        <w:rPr>
          <w:color w:val="000000"/>
          <w:sz w:val="22"/>
        </w:rPr>
        <w:t>i paesi interessati dalla politica europea di vicinato, secondo le procedure stabilite con tali paesi in base agli accordi quadro che ne prevedono la partecipazione ai programmi dell'Unione europea.</w:t>
      </w:r>
    </w:p>
    <w:p w:rsidR="004D2724" w:rsidRDefault="004D2724" w:rsidP="00396CF7">
      <w:pPr>
        <w:rPr>
          <w:sz w:val="22"/>
          <w:szCs w:val="22"/>
        </w:rPr>
      </w:pPr>
    </w:p>
    <w:p w:rsidR="00E23200" w:rsidRPr="00235D1C" w:rsidRDefault="00E23200" w:rsidP="00396CF7">
      <w:pPr>
        <w:spacing w:before="100" w:beforeAutospacing="1" w:after="180"/>
        <w:ind w:right="23"/>
        <w:jc w:val="both"/>
        <w:rPr>
          <w:color w:val="000000"/>
          <w:sz w:val="22"/>
          <w:szCs w:val="22"/>
        </w:rPr>
      </w:pPr>
      <w:r>
        <w:rPr>
          <w:color w:val="000000"/>
          <w:sz w:val="22"/>
        </w:rPr>
        <w:t>Il programma è inoltre aperto ad azioni di cooperazione bilaterale o multilaterale, mirate a paesi o regioni selezionati sulla base di stanziamenti aggiuntivi erogati dai suddetti paesi o regioni, nonché di accordi specifici da concordare con gli stessi.</w:t>
      </w:r>
    </w:p>
    <w:p w:rsidR="0048665C" w:rsidRPr="00C87405" w:rsidRDefault="00E23200" w:rsidP="00396CF7">
      <w:pPr>
        <w:spacing w:after="200"/>
        <w:jc w:val="both"/>
        <w:rPr>
          <w:sz w:val="22"/>
          <w:szCs w:val="22"/>
        </w:rPr>
      </w:pPr>
      <w:r>
        <w:rPr>
          <w:sz w:val="22"/>
        </w:rPr>
        <w:t>Possono essere selezionate proposte provenienti da candidati stabiliti in paesi terzi purché, alla data della decisione di aggiudicazione, siano stati sottoscritti accordi che definiscano le modalità di partecipazione di tali paesi al programma istituito dal suddetto regolamento.</w:t>
      </w:r>
    </w:p>
    <w:p w:rsidR="00921EF1" w:rsidRPr="00C87405" w:rsidRDefault="00921EF1" w:rsidP="00396CF7">
      <w:pPr>
        <w:pStyle w:val="Titre1"/>
        <w:rPr>
          <w:sz w:val="22"/>
          <w:szCs w:val="22"/>
        </w:rPr>
      </w:pPr>
      <w:r>
        <w:rPr>
          <w:sz w:val="22"/>
        </w:rPr>
        <w:t>Azioni ammissibili</w:t>
      </w:r>
    </w:p>
    <w:p w:rsidR="007E6A2B" w:rsidRPr="00C87405" w:rsidRDefault="007E6A2B" w:rsidP="007B230F">
      <w:pPr>
        <w:keepNext/>
        <w:jc w:val="both"/>
        <w:rPr>
          <w:b/>
          <w:sz w:val="22"/>
          <w:szCs w:val="22"/>
        </w:rPr>
      </w:pPr>
      <w:r>
        <w:rPr>
          <w:b/>
          <w:sz w:val="22"/>
        </w:rPr>
        <w:t>Sono ammissibili le attività di sviluppo relative alle opere audiovisive riportate di seguito.</w:t>
      </w:r>
    </w:p>
    <w:p w:rsidR="007E6A2B" w:rsidRPr="00C87405" w:rsidRDefault="007E6A2B" w:rsidP="00396CF7">
      <w:pPr>
        <w:jc w:val="both"/>
        <w:rPr>
          <w:sz w:val="22"/>
          <w:szCs w:val="22"/>
        </w:rPr>
      </w:pPr>
    </w:p>
    <w:p w:rsidR="00370730" w:rsidRPr="007B230F" w:rsidRDefault="00370730" w:rsidP="007B230F">
      <w:pPr>
        <w:pStyle w:val="Paragraphedeliste"/>
        <w:numPr>
          <w:ilvl w:val="0"/>
          <w:numId w:val="17"/>
        </w:numPr>
        <w:ind w:left="0" w:firstLine="0"/>
        <w:jc w:val="both"/>
        <w:rPr>
          <w:rFonts w:eastAsia="Arial Unicode MS"/>
          <w:sz w:val="22"/>
          <w:szCs w:val="22"/>
        </w:rPr>
      </w:pPr>
      <w:r>
        <w:rPr>
          <w:sz w:val="22"/>
        </w:rPr>
        <w:t>Lungometraggi, animazioni e documentari creativi di durata non inferiore a 60 minuti, destinati prevalentemente alla proiezione in sale cinematografiche.</w:t>
      </w:r>
    </w:p>
    <w:p w:rsidR="000019B3" w:rsidRPr="00C87405" w:rsidRDefault="000019B3" w:rsidP="00396CF7">
      <w:pPr>
        <w:jc w:val="both"/>
        <w:rPr>
          <w:rFonts w:eastAsia="Arial Unicode MS"/>
          <w:sz w:val="22"/>
          <w:szCs w:val="22"/>
        </w:rPr>
      </w:pPr>
    </w:p>
    <w:p w:rsidR="00370730" w:rsidRDefault="00595E8F" w:rsidP="00BC3EEE">
      <w:pPr>
        <w:pStyle w:val="Paragraphedeliste"/>
        <w:numPr>
          <w:ilvl w:val="0"/>
          <w:numId w:val="17"/>
        </w:numPr>
        <w:ind w:left="0" w:firstLine="0"/>
        <w:jc w:val="both"/>
        <w:rPr>
          <w:rFonts w:eastAsia="Arial Unicode MS"/>
          <w:sz w:val="22"/>
          <w:szCs w:val="22"/>
        </w:rPr>
      </w:pPr>
      <w:r>
        <w:rPr>
          <w:sz w:val="22"/>
        </w:rPr>
        <w:t>Progetti di fiction (in edizione unica o in serie) della durata complessiva di almeno 90 minuti, animazione (in edizione unica o in serie) della durata complessiva di almeno 24 minuti e documentari creativi (in edizione unica o in serie) della durata di almeno 50 minuti destinati prevalentemente a scopi televisivi o a un utilizzo attraverso piattaforme digitali.</w:t>
      </w:r>
    </w:p>
    <w:p w:rsidR="000019B3" w:rsidRDefault="000019B3" w:rsidP="00396CF7">
      <w:pPr>
        <w:jc w:val="both"/>
        <w:rPr>
          <w:rFonts w:eastAsia="Arial Unicode MS"/>
          <w:sz w:val="22"/>
          <w:szCs w:val="22"/>
        </w:rPr>
      </w:pPr>
    </w:p>
    <w:p w:rsidR="000019B3" w:rsidRDefault="000019B3" w:rsidP="00BC3EEE">
      <w:pPr>
        <w:pStyle w:val="Paragraphedeliste"/>
        <w:numPr>
          <w:ilvl w:val="0"/>
          <w:numId w:val="17"/>
        </w:numPr>
        <w:ind w:left="0" w:firstLine="0"/>
        <w:jc w:val="both"/>
        <w:rPr>
          <w:rFonts w:eastAsia="Arial Unicode MS"/>
          <w:sz w:val="22"/>
          <w:szCs w:val="22"/>
        </w:rPr>
      </w:pPr>
      <w:r>
        <w:rPr>
          <w:sz w:val="22"/>
        </w:rPr>
        <w:t>Progetti di fiction della durata complessiva, o con un'esperienza dell'utente complessiva, di almeno 90 minuti; animazioni della durata complessiva, o con un'esperienza dell'utente complessiva, di almeno 24 minuti e documentari creativi della durata complessiva, o con un'esperienza dell'utente complessiva, di almeno 50 minuti e destinati prevalentemente a un utilizzo attraverso piattaforme digitali.</w:t>
      </w:r>
    </w:p>
    <w:p w:rsidR="00B15217" w:rsidRPr="00C87405" w:rsidRDefault="00B15217" w:rsidP="00396CF7">
      <w:pPr>
        <w:tabs>
          <w:tab w:val="left" w:pos="-1440"/>
          <w:tab w:val="left" w:pos="-720"/>
          <w:tab w:val="left" w:pos="-567"/>
          <w:tab w:val="left" w:pos="-426"/>
          <w:tab w:val="left" w:pos="-284"/>
          <w:tab w:val="left" w:pos="-142"/>
        </w:tabs>
        <w:jc w:val="both"/>
        <w:rPr>
          <w:sz w:val="22"/>
          <w:szCs w:val="22"/>
        </w:rPr>
      </w:pPr>
    </w:p>
    <w:p w:rsidR="00D356F3" w:rsidRPr="00C87405" w:rsidRDefault="00D356F3" w:rsidP="00396CF7">
      <w:pPr>
        <w:jc w:val="both"/>
        <w:rPr>
          <w:sz w:val="22"/>
          <w:szCs w:val="22"/>
        </w:rPr>
      </w:pPr>
      <w:r>
        <w:rPr>
          <w:sz w:val="22"/>
        </w:rPr>
        <w:t>L'invito a presentare proposte fissa un unico termine ultimo. La domanda di sostegno deve essere presentata tra la data di pubblicazione dell'invito a presentare proposte e il 4.2.2016 alle ore 12:00 (mezzogiorno, ora di Bruxelles).</w:t>
      </w:r>
    </w:p>
    <w:p w:rsidR="00D356F3" w:rsidRPr="00C87405" w:rsidRDefault="00D356F3" w:rsidP="00396CF7">
      <w:pPr>
        <w:jc w:val="both"/>
        <w:rPr>
          <w:sz w:val="22"/>
          <w:szCs w:val="22"/>
        </w:rPr>
      </w:pPr>
    </w:p>
    <w:p w:rsidR="00B15217" w:rsidRPr="00C87405" w:rsidRDefault="00481C84" w:rsidP="00396CF7">
      <w:pPr>
        <w:autoSpaceDE w:val="0"/>
        <w:autoSpaceDN w:val="0"/>
        <w:adjustRightInd w:val="0"/>
        <w:jc w:val="both"/>
        <w:rPr>
          <w:sz w:val="22"/>
          <w:szCs w:val="22"/>
        </w:rPr>
      </w:pPr>
      <w:r>
        <w:rPr>
          <w:sz w:val="22"/>
        </w:rPr>
        <w:t>La durata massima del progetto è di 30 mesi dalla data di presentazione.</w:t>
      </w:r>
    </w:p>
    <w:p w:rsidR="00921EF1" w:rsidRPr="00C87405" w:rsidRDefault="00921EF1" w:rsidP="00396CF7">
      <w:pPr>
        <w:pStyle w:val="Titre1"/>
        <w:rPr>
          <w:sz w:val="22"/>
          <w:szCs w:val="22"/>
        </w:rPr>
      </w:pPr>
      <w:r>
        <w:rPr>
          <w:sz w:val="22"/>
        </w:rPr>
        <w:lastRenderedPageBreak/>
        <w:t>Criteri di assegnazione</w:t>
      </w:r>
    </w:p>
    <w:p w:rsidR="00687DD0" w:rsidRPr="00C87405" w:rsidRDefault="0016754B" w:rsidP="006E39EA">
      <w:pPr>
        <w:pStyle w:val="Text1"/>
        <w:keepNext/>
        <w:ind w:left="0"/>
        <w:jc w:val="left"/>
        <w:rPr>
          <w:sz w:val="22"/>
          <w:szCs w:val="22"/>
        </w:rPr>
      </w:pPr>
      <w:r>
        <w:rPr>
          <w:sz w:val="22"/>
        </w:rPr>
        <w:t>Verrà assegnato un punteggio fino a un massimo di 100 punti secondo il seguente schema di valutazione:</w:t>
      </w:r>
    </w:p>
    <w:p w:rsidR="00716933" w:rsidRPr="00C87405" w:rsidRDefault="00CC35F6" w:rsidP="00382BDA">
      <w:pPr>
        <w:pStyle w:val="Text1"/>
        <w:keepNext/>
        <w:spacing w:after="0"/>
        <w:ind w:left="0"/>
        <w:rPr>
          <w:spacing w:val="-3"/>
          <w:sz w:val="22"/>
          <w:szCs w:val="22"/>
        </w:rPr>
      </w:pPr>
      <w:r>
        <w:rPr>
          <w:sz w:val="22"/>
        </w:rPr>
        <w:t>Pertinenza e valore aggiunto europeo (20 punti)</w:t>
      </w:r>
    </w:p>
    <w:p w:rsidR="00FB00C5" w:rsidRPr="00C87405" w:rsidRDefault="0013730B" w:rsidP="00396CF7">
      <w:pPr>
        <w:pStyle w:val="Text1"/>
        <w:numPr>
          <w:ilvl w:val="0"/>
          <w:numId w:val="14"/>
        </w:numPr>
        <w:spacing w:after="0"/>
        <w:rPr>
          <w:spacing w:val="-3"/>
          <w:sz w:val="22"/>
          <w:szCs w:val="22"/>
        </w:rPr>
      </w:pPr>
      <w:r>
        <w:rPr>
          <w:sz w:val="22"/>
        </w:rPr>
        <w:t>Approccio della società per lo sviluppo, a livello europeo e internazionale, di un pacchetto di 3-5 progetti</w:t>
      </w:r>
    </w:p>
    <w:p w:rsidR="00FB00C5" w:rsidRPr="00C87405" w:rsidRDefault="00FB00C5" w:rsidP="00396CF7">
      <w:pPr>
        <w:pStyle w:val="Text1"/>
        <w:spacing w:after="0"/>
        <w:ind w:left="842"/>
        <w:rPr>
          <w:spacing w:val="-3"/>
          <w:sz w:val="22"/>
          <w:szCs w:val="22"/>
        </w:rPr>
      </w:pPr>
    </w:p>
    <w:p w:rsidR="00716933" w:rsidRPr="00C87405" w:rsidRDefault="00716933" w:rsidP="00382BDA">
      <w:pPr>
        <w:pStyle w:val="Text1"/>
        <w:keepNext/>
        <w:spacing w:after="0"/>
        <w:ind w:left="0"/>
        <w:rPr>
          <w:rFonts w:eastAsia="Calibri"/>
          <w:sz w:val="22"/>
          <w:szCs w:val="22"/>
        </w:rPr>
      </w:pPr>
      <w:r>
        <w:rPr>
          <w:sz w:val="22"/>
        </w:rPr>
        <w:t>Qualità dei contenuti e delle attività (20 punti)</w:t>
      </w:r>
    </w:p>
    <w:p w:rsidR="00FB00C5" w:rsidRPr="00C87405" w:rsidRDefault="00FB00C5" w:rsidP="00396CF7">
      <w:pPr>
        <w:pStyle w:val="Text1"/>
        <w:numPr>
          <w:ilvl w:val="0"/>
          <w:numId w:val="14"/>
        </w:numPr>
        <w:spacing w:after="0"/>
        <w:ind w:left="839" w:hanging="357"/>
        <w:rPr>
          <w:rFonts w:eastAsia="Calibri"/>
          <w:sz w:val="22"/>
          <w:szCs w:val="22"/>
        </w:rPr>
      </w:pPr>
      <w:r>
        <w:rPr>
          <w:sz w:val="22"/>
        </w:rPr>
        <w:t>Qualità del pacchetto di progetti, qualità della strategia di sviluppo, qualità della strategia di finanziamento e relativa dimensione europea</w:t>
      </w:r>
    </w:p>
    <w:p w:rsidR="00FB00C5" w:rsidRPr="00C87405" w:rsidRDefault="00FB00C5" w:rsidP="00396CF7">
      <w:pPr>
        <w:pStyle w:val="Text1"/>
        <w:spacing w:after="0"/>
        <w:ind w:left="842"/>
        <w:rPr>
          <w:rFonts w:eastAsia="Calibri"/>
          <w:sz w:val="22"/>
          <w:szCs w:val="22"/>
        </w:rPr>
      </w:pPr>
    </w:p>
    <w:p w:rsidR="00716933" w:rsidRPr="00C87405" w:rsidRDefault="00716933" w:rsidP="00382BDA">
      <w:pPr>
        <w:pStyle w:val="Text1"/>
        <w:keepNext/>
        <w:spacing w:after="0"/>
        <w:ind w:left="0"/>
        <w:rPr>
          <w:rFonts w:eastAsia="Calibri"/>
          <w:sz w:val="22"/>
          <w:szCs w:val="22"/>
        </w:rPr>
      </w:pPr>
      <w:r>
        <w:rPr>
          <w:sz w:val="22"/>
        </w:rPr>
        <w:t>Divulgazione dei risultati del progetto (20 punti)</w:t>
      </w:r>
    </w:p>
    <w:p w:rsidR="00FB00C5" w:rsidRPr="00C87405" w:rsidRDefault="0013730B" w:rsidP="00396CF7">
      <w:pPr>
        <w:numPr>
          <w:ilvl w:val="0"/>
          <w:numId w:val="14"/>
        </w:numPr>
        <w:jc w:val="both"/>
        <w:rPr>
          <w:rFonts w:eastAsia="Calibri"/>
          <w:sz w:val="22"/>
          <w:szCs w:val="22"/>
        </w:rPr>
      </w:pPr>
      <w:r>
        <w:rPr>
          <w:sz w:val="22"/>
        </w:rPr>
        <w:t>Strategia di distribuzione e commercializzazione in Europa e a livello internazionale</w:t>
      </w:r>
    </w:p>
    <w:p w:rsidR="00FB00C5" w:rsidRPr="00C87405" w:rsidRDefault="00FB00C5" w:rsidP="00396CF7">
      <w:pPr>
        <w:ind w:left="842"/>
        <w:jc w:val="both"/>
        <w:rPr>
          <w:rFonts w:eastAsia="Calibri"/>
          <w:sz w:val="22"/>
          <w:szCs w:val="22"/>
        </w:rPr>
      </w:pPr>
    </w:p>
    <w:p w:rsidR="00716933" w:rsidRPr="00C87405" w:rsidRDefault="0013730B" w:rsidP="00382BDA">
      <w:pPr>
        <w:keepNext/>
        <w:jc w:val="both"/>
        <w:rPr>
          <w:rFonts w:eastAsia="Calibri"/>
          <w:sz w:val="22"/>
          <w:szCs w:val="22"/>
        </w:rPr>
      </w:pPr>
      <w:r>
        <w:rPr>
          <w:sz w:val="22"/>
        </w:rPr>
        <w:t>Organizzazione del gruppo di progetto (10 punti)</w:t>
      </w:r>
    </w:p>
    <w:p w:rsidR="00FB00C5" w:rsidRPr="00C87405" w:rsidRDefault="0013730B" w:rsidP="00396CF7">
      <w:pPr>
        <w:numPr>
          <w:ilvl w:val="0"/>
          <w:numId w:val="14"/>
        </w:numPr>
        <w:jc w:val="both"/>
        <w:rPr>
          <w:rFonts w:eastAsia="Calibri"/>
          <w:sz w:val="22"/>
          <w:szCs w:val="22"/>
        </w:rPr>
      </w:pPr>
      <w:r>
        <w:rPr>
          <w:sz w:val="22"/>
        </w:rPr>
        <w:t>Distribuzione dei ruoli e delle responsabilità nell'ambito del gruppo creativo rispetto agli obiettivi specifici dell'azione proposta</w:t>
      </w:r>
    </w:p>
    <w:p w:rsidR="00FB00C5" w:rsidRPr="00C87405" w:rsidRDefault="00FB00C5" w:rsidP="00396CF7">
      <w:pPr>
        <w:ind w:left="842"/>
        <w:jc w:val="both"/>
        <w:rPr>
          <w:rFonts w:eastAsia="Calibri"/>
          <w:sz w:val="22"/>
          <w:szCs w:val="22"/>
        </w:rPr>
      </w:pPr>
    </w:p>
    <w:p w:rsidR="00716933" w:rsidRPr="00C87405" w:rsidRDefault="00716933" w:rsidP="00382BDA">
      <w:pPr>
        <w:keepNext/>
        <w:jc w:val="both"/>
        <w:rPr>
          <w:spacing w:val="-3"/>
          <w:sz w:val="22"/>
          <w:szCs w:val="22"/>
        </w:rPr>
      </w:pPr>
      <w:r>
        <w:rPr>
          <w:sz w:val="22"/>
        </w:rPr>
        <w:t xml:space="preserve">Impatto e sostenibilità (10 punti) </w:t>
      </w:r>
    </w:p>
    <w:p w:rsidR="00FB00C5" w:rsidRPr="00C87405" w:rsidRDefault="00FB00C5" w:rsidP="00396CF7">
      <w:pPr>
        <w:numPr>
          <w:ilvl w:val="0"/>
          <w:numId w:val="14"/>
        </w:numPr>
        <w:jc w:val="both"/>
        <w:rPr>
          <w:spacing w:val="-3"/>
          <w:sz w:val="22"/>
          <w:szCs w:val="22"/>
        </w:rPr>
      </w:pPr>
      <w:r>
        <w:rPr>
          <w:spacing w:val="-3"/>
          <w:sz w:val="22"/>
        </w:rPr>
        <w:t>Potenziale di fattibilità del pacchetto di progetti</w:t>
      </w:r>
    </w:p>
    <w:p w:rsidR="00FB00C5" w:rsidRPr="00C87405" w:rsidRDefault="00FB00C5" w:rsidP="00396CF7">
      <w:pPr>
        <w:ind w:left="482"/>
        <w:jc w:val="both"/>
        <w:rPr>
          <w:spacing w:val="-3"/>
          <w:sz w:val="22"/>
          <w:szCs w:val="22"/>
        </w:rPr>
      </w:pPr>
    </w:p>
    <w:p w:rsidR="004355A5" w:rsidRPr="00C87405" w:rsidRDefault="00716933" w:rsidP="00396CF7">
      <w:pPr>
        <w:jc w:val="both"/>
        <w:rPr>
          <w:sz w:val="22"/>
          <w:szCs w:val="22"/>
          <w:u w:val="single"/>
        </w:rPr>
      </w:pPr>
      <w:r>
        <w:rPr>
          <w:sz w:val="22"/>
        </w:rPr>
        <w:t>Carattere innovativo (20 punti)</w:t>
      </w:r>
    </w:p>
    <w:p w:rsidR="00FB00C5" w:rsidRPr="00C87405" w:rsidRDefault="00FB00C5" w:rsidP="00396CF7">
      <w:pPr>
        <w:numPr>
          <w:ilvl w:val="0"/>
          <w:numId w:val="14"/>
        </w:numPr>
        <w:ind w:left="839" w:hanging="357"/>
        <w:jc w:val="both"/>
        <w:rPr>
          <w:spacing w:val="-3"/>
          <w:sz w:val="22"/>
          <w:szCs w:val="22"/>
        </w:rPr>
      </w:pPr>
      <w:r>
        <w:rPr>
          <w:spacing w:val="-3"/>
          <w:sz w:val="22"/>
        </w:rPr>
        <w:t>Capacità della società di essere innovativa nelle sue attività, vale a dire come il pacchetto proposto mostra la capacità del candidato di adattarsi a un panorama audiovisivo competitivo e in costante trasformazione e di migliorare la propria posizione sul mercato.</w:t>
      </w:r>
    </w:p>
    <w:p w:rsidR="008D196C" w:rsidRPr="00C87405" w:rsidRDefault="008D196C" w:rsidP="00396CF7">
      <w:pPr>
        <w:jc w:val="both"/>
        <w:rPr>
          <w:spacing w:val="-3"/>
          <w:sz w:val="22"/>
          <w:szCs w:val="22"/>
        </w:rPr>
      </w:pPr>
    </w:p>
    <w:p w:rsidR="008D196C" w:rsidRPr="00C87405" w:rsidRDefault="008D196C" w:rsidP="00382BDA">
      <w:pPr>
        <w:keepNext/>
        <w:jc w:val="both"/>
        <w:rPr>
          <w:sz w:val="22"/>
          <w:szCs w:val="22"/>
        </w:rPr>
      </w:pPr>
      <w:r>
        <w:rPr>
          <w:sz w:val="22"/>
        </w:rPr>
        <w:t xml:space="preserve">Punti "automaticamente" aggiuntivi per: </w:t>
      </w:r>
    </w:p>
    <w:p w:rsidR="008D196C" w:rsidRPr="00382BDA" w:rsidRDefault="008D196C" w:rsidP="00382BDA">
      <w:pPr>
        <w:pStyle w:val="Paragraphedeliste"/>
        <w:numPr>
          <w:ilvl w:val="0"/>
          <w:numId w:val="19"/>
        </w:numPr>
        <w:jc w:val="both"/>
        <w:rPr>
          <w:sz w:val="22"/>
          <w:szCs w:val="22"/>
        </w:rPr>
      </w:pPr>
      <w:r>
        <w:rPr>
          <w:sz w:val="22"/>
        </w:rPr>
        <w:t>una società candidata stabilita in un paese con una bassa capacità di produzione (10 punti aggiuntivi)</w:t>
      </w:r>
    </w:p>
    <w:p w:rsidR="008D196C" w:rsidRPr="00175A80" w:rsidRDefault="00A7405E" w:rsidP="00BE327E">
      <w:pPr>
        <w:pStyle w:val="Paragraphedeliste"/>
        <w:numPr>
          <w:ilvl w:val="0"/>
          <w:numId w:val="19"/>
        </w:numPr>
        <w:jc w:val="both"/>
        <w:rPr>
          <w:sz w:val="22"/>
          <w:szCs w:val="22"/>
        </w:rPr>
      </w:pPr>
      <w:r>
        <w:rPr>
          <w:sz w:val="22"/>
        </w:rPr>
        <w:t>una società candidata stabilita in un paese con una media capacità di produzione (5 punti aggiuntivi).</w:t>
      </w:r>
    </w:p>
    <w:p w:rsidR="0048665C" w:rsidRPr="00C87405" w:rsidRDefault="0048665C" w:rsidP="00396CF7">
      <w:pPr>
        <w:pStyle w:val="Titre1"/>
        <w:rPr>
          <w:sz w:val="22"/>
          <w:szCs w:val="22"/>
        </w:rPr>
      </w:pPr>
      <w:r>
        <w:rPr>
          <w:sz w:val="22"/>
        </w:rPr>
        <w:t xml:space="preserve">Dotazione di bilancio </w:t>
      </w:r>
    </w:p>
    <w:p w:rsidR="00753C27" w:rsidRPr="00C87405" w:rsidRDefault="0048665C" w:rsidP="00396CF7">
      <w:pPr>
        <w:suppressAutoHyphens/>
        <w:jc w:val="both"/>
        <w:rPr>
          <w:sz w:val="22"/>
          <w:szCs w:val="22"/>
        </w:rPr>
      </w:pPr>
      <w:r>
        <w:rPr>
          <w:spacing w:val="-3"/>
          <w:sz w:val="22"/>
        </w:rPr>
        <w:t xml:space="preserve">La dotazione complessiva disponibile è di 12,5 Mio EUR. Il contributo finanziario è assegnato sotto forma di sovvenzione. </w:t>
      </w:r>
    </w:p>
    <w:p w:rsidR="00753C27" w:rsidRPr="00C87405" w:rsidRDefault="00753C27" w:rsidP="00396CF7">
      <w:pPr>
        <w:suppressAutoHyphens/>
        <w:jc w:val="both"/>
        <w:rPr>
          <w:sz w:val="22"/>
          <w:szCs w:val="22"/>
        </w:rPr>
      </w:pPr>
    </w:p>
    <w:p w:rsidR="00505FD9" w:rsidRPr="00C87405" w:rsidRDefault="00753C27" w:rsidP="00396CF7">
      <w:pPr>
        <w:suppressAutoHyphens/>
        <w:jc w:val="both"/>
        <w:rPr>
          <w:sz w:val="22"/>
          <w:szCs w:val="22"/>
        </w:rPr>
      </w:pPr>
      <w:r>
        <w:rPr>
          <w:sz w:val="22"/>
        </w:rPr>
        <w:t>Il contributo finanziario massimo che può essere concesso è compreso tra 70 000 e 200 000 EUR.</w:t>
      </w:r>
    </w:p>
    <w:p w:rsidR="00505FD9" w:rsidRPr="00C87405" w:rsidRDefault="00505FD9" w:rsidP="00396CF7">
      <w:pPr>
        <w:suppressAutoHyphens/>
        <w:jc w:val="both"/>
        <w:rPr>
          <w:sz w:val="22"/>
          <w:szCs w:val="22"/>
        </w:rPr>
      </w:pPr>
    </w:p>
    <w:p w:rsidR="00813E16" w:rsidRPr="00C87405" w:rsidRDefault="00753C27" w:rsidP="00396CF7">
      <w:pPr>
        <w:suppressAutoHyphens/>
        <w:jc w:val="both"/>
        <w:rPr>
          <w:sz w:val="22"/>
          <w:szCs w:val="22"/>
        </w:rPr>
      </w:pPr>
      <w:r>
        <w:rPr>
          <w:sz w:val="22"/>
        </w:rPr>
        <w:t>Il contributo finanziario concesso non potrà in nessun caso superare il 50 % del totale dei costi ammissibili presentati dal candidato.</w:t>
      </w:r>
    </w:p>
    <w:p w:rsidR="0027096C" w:rsidRPr="00C87405" w:rsidRDefault="0027096C" w:rsidP="00396CF7">
      <w:pPr>
        <w:suppressAutoHyphens/>
        <w:jc w:val="both"/>
        <w:rPr>
          <w:spacing w:val="-3"/>
          <w:sz w:val="22"/>
          <w:szCs w:val="22"/>
        </w:rPr>
      </w:pPr>
    </w:p>
    <w:p w:rsidR="0048665C" w:rsidRPr="00C87405" w:rsidRDefault="0048665C" w:rsidP="00396CF7">
      <w:pPr>
        <w:pStyle w:val="Titre1"/>
        <w:rPr>
          <w:sz w:val="22"/>
          <w:szCs w:val="22"/>
        </w:rPr>
      </w:pPr>
      <w:r>
        <w:rPr>
          <w:sz w:val="22"/>
        </w:rPr>
        <w:t>Termine per la presentazione delle domande</w:t>
      </w:r>
    </w:p>
    <w:p w:rsidR="00505FD9" w:rsidRPr="00C87405" w:rsidRDefault="0048665C" w:rsidP="00396CF7">
      <w:pPr>
        <w:autoSpaceDE w:val="0"/>
        <w:autoSpaceDN w:val="0"/>
        <w:adjustRightInd w:val="0"/>
        <w:spacing w:after="240"/>
        <w:jc w:val="both"/>
        <w:rPr>
          <w:spacing w:val="-3"/>
          <w:sz w:val="22"/>
          <w:szCs w:val="22"/>
        </w:rPr>
      </w:pPr>
      <w:r>
        <w:rPr>
          <w:sz w:val="22"/>
        </w:rPr>
        <w:t xml:space="preserve">Le domande devono essere presentate all'Agenzia esecutiva (EACEA) utilizzando il modulo di candidatura online (eForm) entro e non oltre </w:t>
      </w:r>
      <w:r>
        <w:rPr>
          <w:b/>
          <w:spacing w:val="-3"/>
          <w:sz w:val="22"/>
        </w:rPr>
        <w:t xml:space="preserve">il 4.2.2016 alle ore 12:00 </w:t>
      </w:r>
      <w:r>
        <w:rPr>
          <w:sz w:val="22"/>
        </w:rPr>
        <w:t xml:space="preserve">(mezzogiorno, ora di Bruxelles). </w:t>
      </w:r>
    </w:p>
    <w:p w:rsidR="00505FD9" w:rsidRPr="00C87405" w:rsidRDefault="00505FD9" w:rsidP="00396CF7">
      <w:pPr>
        <w:autoSpaceDE w:val="0"/>
        <w:autoSpaceDN w:val="0"/>
        <w:adjustRightInd w:val="0"/>
        <w:spacing w:after="60"/>
        <w:jc w:val="both"/>
        <w:rPr>
          <w:bCs/>
          <w:sz w:val="22"/>
          <w:szCs w:val="22"/>
        </w:rPr>
      </w:pPr>
      <w:r>
        <w:rPr>
          <w:sz w:val="22"/>
        </w:rPr>
        <w:t xml:space="preserve">Non sarà accettato alcun altro metodo di presentazione delle domande. </w:t>
      </w:r>
    </w:p>
    <w:p w:rsidR="00505FD9" w:rsidRPr="00C87405" w:rsidRDefault="00505FD9" w:rsidP="00396CF7">
      <w:pPr>
        <w:autoSpaceDE w:val="0"/>
        <w:autoSpaceDN w:val="0"/>
        <w:adjustRightInd w:val="0"/>
        <w:spacing w:after="60"/>
        <w:jc w:val="both"/>
        <w:rPr>
          <w:sz w:val="22"/>
          <w:szCs w:val="22"/>
        </w:rPr>
      </w:pPr>
      <w:r>
        <w:rPr>
          <w:sz w:val="22"/>
        </w:rPr>
        <w:t>I candidati provvedono ad allegare tutti i documenti richiesti e menzionati nei moduli online.</w:t>
      </w:r>
    </w:p>
    <w:p w:rsidR="0048665C" w:rsidRPr="00C87405" w:rsidRDefault="0048665C" w:rsidP="00396CF7">
      <w:pPr>
        <w:pStyle w:val="Titre1"/>
        <w:rPr>
          <w:sz w:val="22"/>
          <w:szCs w:val="22"/>
        </w:rPr>
      </w:pPr>
      <w:r>
        <w:rPr>
          <w:sz w:val="22"/>
        </w:rPr>
        <w:t>Per maggiori informazioni</w:t>
      </w:r>
    </w:p>
    <w:p w:rsidR="009667CA" w:rsidRDefault="0048665C" w:rsidP="00396CF7">
      <w:pPr>
        <w:jc w:val="both"/>
        <w:rPr>
          <w:sz w:val="22"/>
          <w:szCs w:val="22"/>
        </w:rPr>
      </w:pPr>
      <w:r>
        <w:rPr>
          <w:sz w:val="22"/>
        </w:rPr>
        <w:t xml:space="preserve">Il testo integrale delle linee guida e i moduli di candidatura sono reperibili al seguente indirizzo Internet: </w:t>
      </w:r>
    </w:p>
    <w:p w:rsidR="00EE2244" w:rsidRPr="005B4124" w:rsidRDefault="00435105" w:rsidP="00396CF7">
      <w:pPr>
        <w:jc w:val="both"/>
        <w:rPr>
          <w:color w:val="1F497D"/>
          <w:sz w:val="22"/>
          <w:szCs w:val="22"/>
        </w:rPr>
      </w:pPr>
      <w:hyperlink r:id="rId11">
        <w:r w:rsidR="001D6D94">
          <w:rPr>
            <w:rStyle w:val="Lienhypertexte"/>
            <w:sz w:val="22"/>
          </w:rPr>
          <w:t>https://eacea.ec.europa.eu/creative-europe/funding/development-slate-funding-2016_en</w:t>
        </w:r>
      </w:hyperlink>
    </w:p>
    <w:p w:rsidR="005B4124" w:rsidRPr="00C87405" w:rsidRDefault="005B4124" w:rsidP="00396CF7">
      <w:pPr>
        <w:jc w:val="both"/>
        <w:rPr>
          <w:sz w:val="22"/>
          <w:szCs w:val="22"/>
        </w:rPr>
      </w:pPr>
    </w:p>
    <w:p w:rsidR="00014E12" w:rsidRPr="00C87405" w:rsidRDefault="0048665C" w:rsidP="00396CF7">
      <w:pPr>
        <w:pStyle w:val="Text1"/>
        <w:ind w:left="0"/>
        <w:rPr>
          <w:sz w:val="22"/>
          <w:szCs w:val="22"/>
        </w:rPr>
      </w:pPr>
      <w:r>
        <w:rPr>
          <w:sz w:val="22"/>
        </w:rPr>
        <w:t>Le domande devono essere conformi a tutte le condizioni specificate nelle linee guida e devono essere trasmesse mediante i moduli forniti.</w:t>
      </w:r>
    </w:p>
    <w:sectPr w:rsidR="00014E12" w:rsidRPr="00C87405" w:rsidSect="00917608">
      <w:footerReference w:type="default" r:id="rId12"/>
      <w:headerReference w:type="first" r:id="rId13"/>
      <w:pgSz w:w="11906" w:h="16838"/>
      <w:pgMar w:top="719" w:right="1646" w:bottom="719" w:left="1620" w:header="601" w:footer="107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ABC" w:rsidRDefault="004A7ABC">
      <w:r>
        <w:separator/>
      </w:r>
    </w:p>
  </w:endnote>
  <w:endnote w:type="continuationSeparator" w:id="0">
    <w:p w:rsidR="004A7ABC" w:rsidRDefault="004A7A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645" w:rsidRDefault="00435105">
    <w:pPr>
      <w:pStyle w:val="Pieddepage"/>
      <w:jc w:val="center"/>
    </w:pPr>
    <w:r>
      <w:fldChar w:fldCharType="begin"/>
    </w:r>
    <w:r w:rsidR="00624645">
      <w:instrText>PAGE</w:instrText>
    </w:r>
    <w:r>
      <w:fldChar w:fldCharType="separate"/>
    </w:r>
    <w:r w:rsidR="000B4923">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ABC" w:rsidRDefault="004A7ABC">
      <w:r>
        <w:separator/>
      </w:r>
    </w:p>
  </w:footnote>
  <w:footnote w:type="continuationSeparator" w:id="0">
    <w:p w:rsidR="004A7ABC" w:rsidRDefault="004A7ABC">
      <w:r>
        <w:continuationSeparator/>
      </w:r>
    </w:p>
  </w:footnote>
  <w:footnote w:id="1">
    <w:p w:rsidR="00E94CCD" w:rsidRPr="004A324A" w:rsidRDefault="00E94CCD" w:rsidP="00E94CCD">
      <w:pPr>
        <w:pStyle w:val="Notedebasdepage"/>
        <w:rPr>
          <w:sz w:val="18"/>
          <w:szCs w:val="18"/>
        </w:rPr>
      </w:pPr>
      <w:r>
        <w:rPr>
          <w:rStyle w:val="Appelnotedebasdep"/>
        </w:rPr>
        <w:footnoteRef/>
      </w:r>
      <w:r>
        <w:t xml:space="preserve"> </w:t>
      </w:r>
      <w:r>
        <w:rPr>
          <w:sz w:val="18"/>
        </w:rPr>
        <w:t>Pubblicato nella Gazzetta ufficiale dell'Unione europea il 20 dicembre 2013 (GU L347/221), rettifica del 27 giugno 2014 (GU L189/260).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645" w:rsidRDefault="00624645">
    <w:pPr>
      <w:pStyle w:val="En-tte"/>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9C86161"/>
    <w:multiLevelType w:val="hybridMultilevel"/>
    <w:tmpl w:val="191836D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nsid w:val="1F734306"/>
    <w:multiLevelType w:val="multilevel"/>
    <w:tmpl w:val="D266108E"/>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3E367A5"/>
    <w:multiLevelType w:val="hybridMultilevel"/>
    <w:tmpl w:val="6A1C498C"/>
    <w:lvl w:ilvl="0" w:tplc="CF269BE6">
      <w:numFmt w:val="bullet"/>
      <w:suff w:val="space"/>
      <w:lvlText w:val="-"/>
      <w:lvlJc w:val="left"/>
      <w:pPr>
        <w:ind w:left="720" w:hanging="72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nsid w:val="2B994E01"/>
    <w:multiLevelType w:val="hybridMultilevel"/>
    <w:tmpl w:val="B14671EA"/>
    <w:lvl w:ilvl="0" w:tplc="C172D736">
      <w:numFmt w:val="bullet"/>
      <w:lvlText w:val="•"/>
      <w:lvlJc w:val="left"/>
      <w:pPr>
        <w:ind w:left="842" w:hanging="360"/>
      </w:pPr>
      <w:rPr>
        <w:rFonts w:ascii="Times New Roman" w:eastAsia="Times New Roman" w:hAnsi="Times New Roman" w:cs="Times New Roman"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6">
    <w:nsid w:val="2DC87EAC"/>
    <w:multiLevelType w:val="hybridMultilevel"/>
    <w:tmpl w:val="38DA799A"/>
    <w:lvl w:ilvl="0" w:tplc="39AABBC0">
      <w:start w:val="1"/>
      <w:numFmt w:val="decimal"/>
      <w:suff w:val="space"/>
      <w:lvlText w:val="%1)"/>
      <w:lvlJc w:val="left"/>
      <w:pPr>
        <w:ind w:left="72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nsid w:val="300601C1"/>
    <w:multiLevelType w:val="hybridMultilevel"/>
    <w:tmpl w:val="EE1A1548"/>
    <w:lvl w:ilvl="0" w:tplc="08090001">
      <w:start w:val="1"/>
      <w:numFmt w:val="bullet"/>
      <w:lvlText w:val=""/>
      <w:lvlJc w:val="left"/>
      <w:pPr>
        <w:tabs>
          <w:tab w:val="num" w:pos="720"/>
        </w:tabs>
        <w:ind w:left="720" w:hanging="360"/>
      </w:pPr>
      <w:rPr>
        <w:rFonts w:ascii="Symbol" w:hAnsi="Symbol" w:hint="default"/>
      </w:rPr>
    </w:lvl>
    <w:lvl w:ilvl="1" w:tplc="531E3CF0">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68E2628"/>
    <w:multiLevelType w:val="hybridMultilevel"/>
    <w:tmpl w:val="309E9672"/>
    <w:lvl w:ilvl="0" w:tplc="826274E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91B7A0E"/>
    <w:multiLevelType w:val="hybridMultilevel"/>
    <w:tmpl w:val="81840D6E"/>
    <w:lvl w:ilvl="0" w:tplc="0E74D012">
      <w:numFmt w:val="bullet"/>
      <w:lvlText w:val="−"/>
      <w:lvlJc w:val="left"/>
      <w:pPr>
        <w:ind w:left="1440" w:hanging="360"/>
      </w:pPr>
      <w:rPr>
        <w:rFonts w:ascii="Times" w:eastAsia="Calibri" w:hAnsi="Times" w:cs="Time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4AE0641"/>
    <w:multiLevelType w:val="hybridMultilevel"/>
    <w:tmpl w:val="4DC4AC52"/>
    <w:lvl w:ilvl="0" w:tplc="C172D73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958" w:hanging="360"/>
      </w:pPr>
      <w:rPr>
        <w:rFonts w:ascii="Courier New" w:hAnsi="Courier New" w:cs="Courier New" w:hint="default"/>
      </w:rPr>
    </w:lvl>
    <w:lvl w:ilvl="2" w:tplc="08090005" w:tentative="1">
      <w:start w:val="1"/>
      <w:numFmt w:val="bullet"/>
      <w:lvlText w:val=""/>
      <w:lvlJc w:val="left"/>
      <w:pPr>
        <w:ind w:left="1678" w:hanging="360"/>
      </w:pPr>
      <w:rPr>
        <w:rFonts w:ascii="Wingdings" w:hAnsi="Wingdings" w:hint="default"/>
      </w:rPr>
    </w:lvl>
    <w:lvl w:ilvl="3" w:tplc="08090001" w:tentative="1">
      <w:start w:val="1"/>
      <w:numFmt w:val="bullet"/>
      <w:lvlText w:val=""/>
      <w:lvlJc w:val="left"/>
      <w:pPr>
        <w:ind w:left="2398" w:hanging="360"/>
      </w:pPr>
      <w:rPr>
        <w:rFonts w:ascii="Symbol" w:hAnsi="Symbol" w:hint="default"/>
      </w:rPr>
    </w:lvl>
    <w:lvl w:ilvl="4" w:tplc="08090003" w:tentative="1">
      <w:start w:val="1"/>
      <w:numFmt w:val="bullet"/>
      <w:lvlText w:val="o"/>
      <w:lvlJc w:val="left"/>
      <w:pPr>
        <w:ind w:left="3118" w:hanging="360"/>
      </w:pPr>
      <w:rPr>
        <w:rFonts w:ascii="Courier New" w:hAnsi="Courier New" w:cs="Courier New" w:hint="default"/>
      </w:rPr>
    </w:lvl>
    <w:lvl w:ilvl="5" w:tplc="08090005" w:tentative="1">
      <w:start w:val="1"/>
      <w:numFmt w:val="bullet"/>
      <w:lvlText w:val=""/>
      <w:lvlJc w:val="left"/>
      <w:pPr>
        <w:ind w:left="3838" w:hanging="360"/>
      </w:pPr>
      <w:rPr>
        <w:rFonts w:ascii="Wingdings" w:hAnsi="Wingdings" w:hint="default"/>
      </w:rPr>
    </w:lvl>
    <w:lvl w:ilvl="6" w:tplc="08090001" w:tentative="1">
      <w:start w:val="1"/>
      <w:numFmt w:val="bullet"/>
      <w:lvlText w:val=""/>
      <w:lvlJc w:val="left"/>
      <w:pPr>
        <w:ind w:left="4558" w:hanging="360"/>
      </w:pPr>
      <w:rPr>
        <w:rFonts w:ascii="Symbol" w:hAnsi="Symbol" w:hint="default"/>
      </w:rPr>
    </w:lvl>
    <w:lvl w:ilvl="7" w:tplc="08090003" w:tentative="1">
      <w:start w:val="1"/>
      <w:numFmt w:val="bullet"/>
      <w:lvlText w:val="o"/>
      <w:lvlJc w:val="left"/>
      <w:pPr>
        <w:ind w:left="5278" w:hanging="360"/>
      </w:pPr>
      <w:rPr>
        <w:rFonts w:ascii="Courier New" w:hAnsi="Courier New" w:cs="Courier New" w:hint="default"/>
      </w:rPr>
    </w:lvl>
    <w:lvl w:ilvl="8" w:tplc="08090005" w:tentative="1">
      <w:start w:val="1"/>
      <w:numFmt w:val="bullet"/>
      <w:lvlText w:val=""/>
      <w:lvlJc w:val="left"/>
      <w:pPr>
        <w:ind w:left="5998" w:hanging="360"/>
      </w:pPr>
      <w:rPr>
        <w:rFonts w:ascii="Wingdings" w:hAnsi="Wingdings" w:hint="default"/>
      </w:rPr>
    </w:lvl>
  </w:abstractNum>
  <w:abstractNum w:abstractNumId="11">
    <w:nsid w:val="4F07773D"/>
    <w:multiLevelType w:val="multilevel"/>
    <w:tmpl w:val="D266108E"/>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0117194"/>
    <w:multiLevelType w:val="hybridMultilevel"/>
    <w:tmpl w:val="033A4AF4"/>
    <w:lvl w:ilvl="0" w:tplc="AB008D74">
      <w:numFmt w:val="bullet"/>
      <w:lvlText w:val="-"/>
      <w:lvlJc w:val="left"/>
      <w:pPr>
        <w:ind w:left="720" w:hanging="360"/>
      </w:pPr>
      <w:rPr>
        <w:rFonts w:ascii="Times New Roman" w:eastAsia="Times New Roman" w:hAnsi="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957741"/>
    <w:multiLevelType w:val="hybridMultilevel"/>
    <w:tmpl w:val="7DCECCDA"/>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nsid w:val="655E18AA"/>
    <w:multiLevelType w:val="hybridMultilevel"/>
    <w:tmpl w:val="3BFEDAA8"/>
    <w:lvl w:ilvl="0" w:tplc="C172D736">
      <w:numFmt w:val="bullet"/>
      <w:lvlText w:val="•"/>
      <w:lvlJc w:val="left"/>
      <w:pPr>
        <w:ind w:left="842"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7B4BF1"/>
    <w:multiLevelType w:val="multilevel"/>
    <w:tmpl w:val="5F2ECC6A"/>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1DD7065"/>
    <w:multiLevelType w:val="hybridMultilevel"/>
    <w:tmpl w:val="3FBED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6394CD9"/>
    <w:multiLevelType w:val="hybridMultilevel"/>
    <w:tmpl w:val="B730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DC410D1"/>
    <w:multiLevelType w:val="hybridMultilevel"/>
    <w:tmpl w:val="91B8C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1"/>
  </w:num>
  <w:num w:numId="6">
    <w:abstractNumId w:val="8"/>
  </w:num>
  <w:num w:numId="7">
    <w:abstractNumId w:val="7"/>
  </w:num>
  <w:num w:numId="8">
    <w:abstractNumId w:val="17"/>
  </w:num>
  <w:num w:numId="9">
    <w:abstractNumId w:val="9"/>
  </w:num>
  <w:num w:numId="10">
    <w:abstractNumId w:val="18"/>
  </w:num>
  <w:num w:numId="11">
    <w:abstractNumId w:val="16"/>
  </w:num>
  <w:num w:numId="12">
    <w:abstractNumId w:val="5"/>
  </w:num>
  <w:num w:numId="13">
    <w:abstractNumId w:val="10"/>
  </w:num>
  <w:num w:numId="14">
    <w:abstractNumId w:val="14"/>
  </w:num>
  <w:num w:numId="15">
    <w:abstractNumId w:val="12"/>
  </w:num>
  <w:num w:numId="16">
    <w:abstractNumId w:val="1"/>
  </w:num>
  <w:num w:numId="17">
    <w:abstractNumId w:val="3"/>
  </w:num>
  <w:num w:numId="18">
    <w:abstractNumId w:val="13"/>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docVars>
    <w:docVar w:name="LW_DocType" w:val="NORMAL"/>
  </w:docVars>
  <w:rsids>
    <w:rsidRoot w:val="001D3A91"/>
    <w:rsid w:val="000019B3"/>
    <w:rsid w:val="00014E12"/>
    <w:rsid w:val="000367C2"/>
    <w:rsid w:val="000666F0"/>
    <w:rsid w:val="00074406"/>
    <w:rsid w:val="00087B24"/>
    <w:rsid w:val="00097364"/>
    <w:rsid w:val="000B4923"/>
    <w:rsid w:val="000D19D2"/>
    <w:rsid w:val="000D358E"/>
    <w:rsid w:val="000F7ECE"/>
    <w:rsid w:val="0010307D"/>
    <w:rsid w:val="00110CB6"/>
    <w:rsid w:val="001360F6"/>
    <w:rsid w:val="0013730B"/>
    <w:rsid w:val="00160472"/>
    <w:rsid w:val="001619A7"/>
    <w:rsid w:val="0016754B"/>
    <w:rsid w:val="00170481"/>
    <w:rsid w:val="0017461A"/>
    <w:rsid w:val="00175A80"/>
    <w:rsid w:val="0017692C"/>
    <w:rsid w:val="00183472"/>
    <w:rsid w:val="0019247B"/>
    <w:rsid w:val="001B3213"/>
    <w:rsid w:val="001D3A91"/>
    <w:rsid w:val="001D4CB3"/>
    <w:rsid w:val="001D6D94"/>
    <w:rsid w:val="001E6552"/>
    <w:rsid w:val="0024257B"/>
    <w:rsid w:val="00257C3F"/>
    <w:rsid w:val="00264A31"/>
    <w:rsid w:val="0027096C"/>
    <w:rsid w:val="00284D86"/>
    <w:rsid w:val="002A3891"/>
    <w:rsid w:val="002B2FDD"/>
    <w:rsid w:val="002B7EA9"/>
    <w:rsid w:val="002C42D9"/>
    <w:rsid w:val="002E3129"/>
    <w:rsid w:val="002F184D"/>
    <w:rsid w:val="00304B25"/>
    <w:rsid w:val="00304E15"/>
    <w:rsid w:val="00317732"/>
    <w:rsid w:val="00327765"/>
    <w:rsid w:val="00340CD3"/>
    <w:rsid w:val="0034698A"/>
    <w:rsid w:val="0034799A"/>
    <w:rsid w:val="0035255A"/>
    <w:rsid w:val="00355E87"/>
    <w:rsid w:val="00361C42"/>
    <w:rsid w:val="00366E1D"/>
    <w:rsid w:val="00370730"/>
    <w:rsid w:val="00373B9D"/>
    <w:rsid w:val="00382BDA"/>
    <w:rsid w:val="00396CF7"/>
    <w:rsid w:val="003A1A1F"/>
    <w:rsid w:val="003A2FB7"/>
    <w:rsid w:val="003B0D4C"/>
    <w:rsid w:val="003D307B"/>
    <w:rsid w:val="003D330A"/>
    <w:rsid w:val="003F1C3E"/>
    <w:rsid w:val="00432BF3"/>
    <w:rsid w:val="00435105"/>
    <w:rsid w:val="004355A5"/>
    <w:rsid w:val="00463A5B"/>
    <w:rsid w:val="00481C84"/>
    <w:rsid w:val="0048665C"/>
    <w:rsid w:val="004A7ABC"/>
    <w:rsid w:val="004B6091"/>
    <w:rsid w:val="004C4316"/>
    <w:rsid w:val="004C4CEB"/>
    <w:rsid w:val="004D2724"/>
    <w:rsid w:val="004D4706"/>
    <w:rsid w:val="004F67CA"/>
    <w:rsid w:val="004F7913"/>
    <w:rsid w:val="00505FD9"/>
    <w:rsid w:val="00533123"/>
    <w:rsid w:val="00552564"/>
    <w:rsid w:val="00553BA5"/>
    <w:rsid w:val="005674F5"/>
    <w:rsid w:val="00576DEA"/>
    <w:rsid w:val="005821E2"/>
    <w:rsid w:val="00585349"/>
    <w:rsid w:val="00594581"/>
    <w:rsid w:val="00595E8F"/>
    <w:rsid w:val="005B4124"/>
    <w:rsid w:val="005C584D"/>
    <w:rsid w:val="005D5688"/>
    <w:rsid w:val="005E2D66"/>
    <w:rsid w:val="00602CCB"/>
    <w:rsid w:val="00617396"/>
    <w:rsid w:val="00624645"/>
    <w:rsid w:val="00624F19"/>
    <w:rsid w:val="006277FE"/>
    <w:rsid w:val="006311CC"/>
    <w:rsid w:val="00647198"/>
    <w:rsid w:val="00662201"/>
    <w:rsid w:val="00665F40"/>
    <w:rsid w:val="0066686C"/>
    <w:rsid w:val="0068309E"/>
    <w:rsid w:val="00685621"/>
    <w:rsid w:val="00687DD0"/>
    <w:rsid w:val="006A3B26"/>
    <w:rsid w:val="006B2064"/>
    <w:rsid w:val="006D410C"/>
    <w:rsid w:val="006E0A7B"/>
    <w:rsid w:val="006E39EA"/>
    <w:rsid w:val="006E7617"/>
    <w:rsid w:val="006E7AA2"/>
    <w:rsid w:val="006F585A"/>
    <w:rsid w:val="00716933"/>
    <w:rsid w:val="00730609"/>
    <w:rsid w:val="007427CD"/>
    <w:rsid w:val="00753C27"/>
    <w:rsid w:val="007613A3"/>
    <w:rsid w:val="00762491"/>
    <w:rsid w:val="0076735E"/>
    <w:rsid w:val="00784D4A"/>
    <w:rsid w:val="007B230F"/>
    <w:rsid w:val="007B39BE"/>
    <w:rsid w:val="007B723F"/>
    <w:rsid w:val="007B796C"/>
    <w:rsid w:val="007C4023"/>
    <w:rsid w:val="007C5CE1"/>
    <w:rsid w:val="007E0A08"/>
    <w:rsid w:val="007E6A2B"/>
    <w:rsid w:val="007F0228"/>
    <w:rsid w:val="00813E16"/>
    <w:rsid w:val="00825DE3"/>
    <w:rsid w:val="00831D1F"/>
    <w:rsid w:val="0084211A"/>
    <w:rsid w:val="00853934"/>
    <w:rsid w:val="008631AC"/>
    <w:rsid w:val="008A2999"/>
    <w:rsid w:val="008B1317"/>
    <w:rsid w:val="008B6DC5"/>
    <w:rsid w:val="008D196C"/>
    <w:rsid w:val="008F16A7"/>
    <w:rsid w:val="008F2B13"/>
    <w:rsid w:val="00917608"/>
    <w:rsid w:val="00921EF1"/>
    <w:rsid w:val="009228CD"/>
    <w:rsid w:val="00934976"/>
    <w:rsid w:val="00937660"/>
    <w:rsid w:val="00955641"/>
    <w:rsid w:val="009667CA"/>
    <w:rsid w:val="00997CF4"/>
    <w:rsid w:val="009B77B5"/>
    <w:rsid w:val="009F1146"/>
    <w:rsid w:val="009F69BA"/>
    <w:rsid w:val="009F6FA7"/>
    <w:rsid w:val="009F7072"/>
    <w:rsid w:val="00A22197"/>
    <w:rsid w:val="00A244D2"/>
    <w:rsid w:val="00A2579D"/>
    <w:rsid w:val="00A54A1D"/>
    <w:rsid w:val="00A7405E"/>
    <w:rsid w:val="00A83F52"/>
    <w:rsid w:val="00A938C3"/>
    <w:rsid w:val="00AC0D06"/>
    <w:rsid w:val="00AE5F17"/>
    <w:rsid w:val="00AF5BC0"/>
    <w:rsid w:val="00B15217"/>
    <w:rsid w:val="00B17034"/>
    <w:rsid w:val="00B26F1A"/>
    <w:rsid w:val="00B478D0"/>
    <w:rsid w:val="00B754BA"/>
    <w:rsid w:val="00B82FCE"/>
    <w:rsid w:val="00B908FC"/>
    <w:rsid w:val="00BB2109"/>
    <w:rsid w:val="00BB3FAB"/>
    <w:rsid w:val="00BB7CEF"/>
    <w:rsid w:val="00BC3EEE"/>
    <w:rsid w:val="00BD2185"/>
    <w:rsid w:val="00BD6D62"/>
    <w:rsid w:val="00BE327E"/>
    <w:rsid w:val="00BF18CD"/>
    <w:rsid w:val="00C00493"/>
    <w:rsid w:val="00C0092D"/>
    <w:rsid w:val="00C3207F"/>
    <w:rsid w:val="00C32841"/>
    <w:rsid w:val="00C41382"/>
    <w:rsid w:val="00C7792F"/>
    <w:rsid w:val="00C85AAE"/>
    <w:rsid w:val="00C87405"/>
    <w:rsid w:val="00C951D7"/>
    <w:rsid w:val="00CA6B90"/>
    <w:rsid w:val="00CA787D"/>
    <w:rsid w:val="00CC35F6"/>
    <w:rsid w:val="00CC668B"/>
    <w:rsid w:val="00CF42FD"/>
    <w:rsid w:val="00D1151F"/>
    <w:rsid w:val="00D20546"/>
    <w:rsid w:val="00D23D31"/>
    <w:rsid w:val="00D356F3"/>
    <w:rsid w:val="00D55C5E"/>
    <w:rsid w:val="00D8734C"/>
    <w:rsid w:val="00D96266"/>
    <w:rsid w:val="00DA752B"/>
    <w:rsid w:val="00DB205D"/>
    <w:rsid w:val="00DB2D04"/>
    <w:rsid w:val="00DB4372"/>
    <w:rsid w:val="00DD474D"/>
    <w:rsid w:val="00DE1519"/>
    <w:rsid w:val="00DE20E1"/>
    <w:rsid w:val="00DF089D"/>
    <w:rsid w:val="00DF2F41"/>
    <w:rsid w:val="00E10763"/>
    <w:rsid w:val="00E23200"/>
    <w:rsid w:val="00E23A7A"/>
    <w:rsid w:val="00E359D2"/>
    <w:rsid w:val="00E6080E"/>
    <w:rsid w:val="00E60955"/>
    <w:rsid w:val="00E6289F"/>
    <w:rsid w:val="00E65C20"/>
    <w:rsid w:val="00E733B7"/>
    <w:rsid w:val="00E74D9D"/>
    <w:rsid w:val="00E8526A"/>
    <w:rsid w:val="00E94CCD"/>
    <w:rsid w:val="00E9682B"/>
    <w:rsid w:val="00EA2BD4"/>
    <w:rsid w:val="00EA56AF"/>
    <w:rsid w:val="00EB0D1E"/>
    <w:rsid w:val="00EE2244"/>
    <w:rsid w:val="00EE2EE5"/>
    <w:rsid w:val="00EF6DEF"/>
    <w:rsid w:val="00F16E7A"/>
    <w:rsid w:val="00F33EEA"/>
    <w:rsid w:val="00F5090E"/>
    <w:rsid w:val="00F6117D"/>
    <w:rsid w:val="00F648D8"/>
    <w:rsid w:val="00F915A1"/>
    <w:rsid w:val="00FA07B8"/>
    <w:rsid w:val="00FA104D"/>
    <w:rsid w:val="00FB00C5"/>
    <w:rsid w:val="00FC1936"/>
    <w:rsid w:val="00FD693E"/>
    <w:rsid w:val="00FE6EF9"/>
    <w:rsid w:val="00FF4D5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it-IT"/>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105"/>
    <w:rPr>
      <w:sz w:val="24"/>
      <w:szCs w:val="24"/>
    </w:rPr>
  </w:style>
  <w:style w:type="paragraph" w:styleId="Titre1">
    <w:name w:val="heading 1"/>
    <w:basedOn w:val="Normal"/>
    <w:next w:val="Text1"/>
    <w:qFormat/>
    <w:rsid w:val="0048665C"/>
    <w:pPr>
      <w:keepNext/>
      <w:numPr>
        <w:numId w:val="1"/>
      </w:numPr>
      <w:spacing w:before="240" w:after="240"/>
      <w:jc w:val="both"/>
      <w:outlineLvl w:val="0"/>
    </w:pPr>
    <w:rPr>
      <w:b/>
      <w:smallCaps/>
      <w:szCs w:val="20"/>
    </w:rPr>
  </w:style>
  <w:style w:type="paragraph" w:styleId="Titre2">
    <w:name w:val="heading 2"/>
    <w:basedOn w:val="Normal"/>
    <w:next w:val="Normal"/>
    <w:qFormat/>
    <w:rsid w:val="0048665C"/>
    <w:pPr>
      <w:keepNext/>
      <w:numPr>
        <w:ilvl w:val="1"/>
        <w:numId w:val="1"/>
      </w:numPr>
      <w:spacing w:after="240"/>
      <w:jc w:val="both"/>
      <w:outlineLvl w:val="1"/>
    </w:pPr>
    <w:rPr>
      <w:b/>
      <w:szCs w:val="20"/>
    </w:rPr>
  </w:style>
  <w:style w:type="paragraph" w:styleId="Titre3">
    <w:name w:val="heading 3"/>
    <w:basedOn w:val="Normal"/>
    <w:next w:val="Normal"/>
    <w:qFormat/>
    <w:rsid w:val="0048665C"/>
    <w:pPr>
      <w:keepNext/>
      <w:numPr>
        <w:ilvl w:val="2"/>
        <w:numId w:val="1"/>
      </w:numPr>
      <w:spacing w:after="240"/>
      <w:jc w:val="both"/>
      <w:outlineLvl w:val="2"/>
    </w:pPr>
    <w:rPr>
      <w:i/>
      <w:szCs w:val="20"/>
    </w:rPr>
  </w:style>
  <w:style w:type="paragraph" w:styleId="Titre4">
    <w:name w:val="heading 4"/>
    <w:basedOn w:val="Normal"/>
    <w:next w:val="Normal"/>
    <w:qFormat/>
    <w:rsid w:val="0048665C"/>
    <w:pPr>
      <w:keepNext/>
      <w:numPr>
        <w:ilvl w:val="3"/>
        <w:numId w:val="1"/>
      </w:numPr>
      <w:spacing w:after="240"/>
      <w:jc w:val="both"/>
      <w:outlineLvl w:val="3"/>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48665C"/>
    <w:pPr>
      <w:spacing w:after="240"/>
      <w:ind w:left="482"/>
      <w:jc w:val="both"/>
    </w:pPr>
    <w:rPr>
      <w:szCs w:val="20"/>
    </w:rPr>
  </w:style>
  <w:style w:type="paragraph" w:styleId="Pieddepage">
    <w:name w:val="footer"/>
    <w:basedOn w:val="Normal"/>
    <w:rsid w:val="0048665C"/>
    <w:pPr>
      <w:ind w:right="-567"/>
    </w:pPr>
    <w:rPr>
      <w:rFonts w:ascii="Arial" w:hAnsi="Arial"/>
      <w:sz w:val="16"/>
      <w:szCs w:val="20"/>
    </w:rPr>
  </w:style>
  <w:style w:type="paragraph" w:styleId="En-tte">
    <w:name w:val="header"/>
    <w:basedOn w:val="Normal"/>
    <w:rsid w:val="0048665C"/>
    <w:pPr>
      <w:tabs>
        <w:tab w:val="center" w:pos="4153"/>
        <w:tab w:val="right" w:pos="8306"/>
      </w:tabs>
      <w:spacing w:after="240"/>
      <w:jc w:val="both"/>
    </w:pPr>
    <w:rPr>
      <w:szCs w:val="20"/>
    </w:rPr>
  </w:style>
  <w:style w:type="paragraph" w:customStyle="1" w:styleId="ListBullet1">
    <w:name w:val="List Bullet 1"/>
    <w:basedOn w:val="Text1"/>
    <w:rsid w:val="0048665C"/>
    <w:pPr>
      <w:numPr>
        <w:numId w:val="2"/>
      </w:numPr>
    </w:pPr>
  </w:style>
  <w:style w:type="paragraph" w:customStyle="1" w:styleId="SectionTitle">
    <w:name w:val="SectionTitle"/>
    <w:basedOn w:val="Normal"/>
    <w:next w:val="Titre1"/>
    <w:rsid w:val="0048665C"/>
    <w:pPr>
      <w:keepNext/>
      <w:spacing w:after="480"/>
      <w:jc w:val="center"/>
    </w:pPr>
    <w:rPr>
      <w:b/>
      <w:smallCaps/>
      <w:sz w:val="28"/>
      <w:szCs w:val="20"/>
    </w:rPr>
  </w:style>
  <w:style w:type="character" w:styleId="Lienhypertexte">
    <w:name w:val="Hyperlink"/>
    <w:rsid w:val="00D55C5E"/>
    <w:rPr>
      <w:color w:val="0000FF"/>
      <w:u w:val="single"/>
    </w:rPr>
  </w:style>
  <w:style w:type="paragraph" w:customStyle="1" w:styleId="ListDash">
    <w:name w:val="List Dash"/>
    <w:basedOn w:val="Normal"/>
    <w:rsid w:val="00B15217"/>
    <w:pPr>
      <w:tabs>
        <w:tab w:val="num" w:pos="283"/>
        <w:tab w:val="num" w:pos="360"/>
      </w:tabs>
      <w:spacing w:after="240"/>
      <w:ind w:left="283"/>
      <w:jc w:val="both"/>
    </w:pPr>
  </w:style>
  <w:style w:type="paragraph" w:customStyle="1" w:styleId="Text3">
    <w:name w:val="Text 3"/>
    <w:basedOn w:val="Normal"/>
    <w:rsid w:val="00B15217"/>
    <w:pPr>
      <w:tabs>
        <w:tab w:val="left" w:pos="2302"/>
      </w:tabs>
      <w:spacing w:after="240"/>
      <w:ind w:left="1916"/>
      <w:jc w:val="both"/>
    </w:pPr>
  </w:style>
  <w:style w:type="paragraph" w:styleId="Commentaire">
    <w:name w:val="annotation text"/>
    <w:basedOn w:val="Normal"/>
    <w:link w:val="CommentaireCar"/>
    <w:uiPriority w:val="99"/>
    <w:semiHidden/>
    <w:unhideWhenUsed/>
    <w:rsid w:val="00435105"/>
    <w:rPr>
      <w:sz w:val="20"/>
      <w:szCs w:val="20"/>
    </w:rPr>
  </w:style>
  <w:style w:type="character" w:customStyle="1" w:styleId="CommentaireCar">
    <w:name w:val="Commentaire Car"/>
    <w:basedOn w:val="Policepardfaut"/>
    <w:link w:val="Commentaire"/>
    <w:rsid w:val="00E359D2"/>
  </w:style>
  <w:style w:type="paragraph" w:styleId="Objetducommentaire">
    <w:name w:val="annotation subject"/>
    <w:basedOn w:val="Commentaire"/>
    <w:next w:val="Commentaire"/>
    <w:link w:val="ObjetducommentaireCar"/>
    <w:rsid w:val="00E359D2"/>
    <w:rPr>
      <w:b/>
      <w:bCs/>
    </w:rPr>
  </w:style>
  <w:style w:type="character" w:customStyle="1" w:styleId="ObjetducommentaireCar">
    <w:name w:val="Objet du commentaire Car"/>
    <w:link w:val="Objetducommentaire"/>
    <w:rsid w:val="00E359D2"/>
    <w:rPr>
      <w:b/>
      <w:bCs/>
    </w:rPr>
  </w:style>
  <w:style w:type="paragraph" w:styleId="Textedebulles">
    <w:name w:val="Balloon Text"/>
    <w:basedOn w:val="Normal"/>
    <w:link w:val="TextedebullesCar"/>
    <w:rsid w:val="00E359D2"/>
    <w:rPr>
      <w:rFonts w:ascii="Tahoma" w:hAnsi="Tahoma" w:cs="Tahoma"/>
      <w:sz w:val="16"/>
      <w:szCs w:val="16"/>
    </w:rPr>
  </w:style>
  <w:style w:type="character" w:customStyle="1" w:styleId="TextedebullesCar">
    <w:name w:val="Texte de bulles Car"/>
    <w:link w:val="Textedebulles"/>
    <w:rsid w:val="00E359D2"/>
    <w:rPr>
      <w:rFonts w:ascii="Tahoma" w:hAnsi="Tahoma" w:cs="Tahoma"/>
      <w:sz w:val="16"/>
      <w:szCs w:val="16"/>
    </w:rPr>
  </w:style>
  <w:style w:type="character" w:styleId="Lienhypertextesuivivisit">
    <w:name w:val="FollowedHyperlink"/>
    <w:rsid w:val="003D307B"/>
    <w:rPr>
      <w:color w:val="800080"/>
      <w:u w:val="single"/>
    </w:rPr>
  </w:style>
  <w:style w:type="paragraph" w:styleId="Notedebasdepage">
    <w:name w:val="footnote text"/>
    <w:aliases w:val="Schriftart: 9 pt,Schriftart: 10 pt,Schriftart: 8 pt,WB-Fußnotentext,Tekst przypisu"/>
    <w:basedOn w:val="Normal"/>
    <w:link w:val="NotedebasdepageCar"/>
    <w:rsid w:val="00E94CCD"/>
    <w:rPr>
      <w:sz w:val="20"/>
      <w:szCs w:val="20"/>
    </w:rPr>
  </w:style>
  <w:style w:type="character" w:customStyle="1" w:styleId="NotedebasdepageCar">
    <w:name w:val="Note de bas de page Car"/>
    <w:aliases w:val="Schriftart: 9 pt Car,Schriftart: 10 pt Car,Schriftart: 8 pt Car,WB-Fußnotentext Car,Tekst przypisu Car"/>
    <w:basedOn w:val="Policepardfaut"/>
    <w:link w:val="Notedebasdepage"/>
    <w:rsid w:val="00E94CCD"/>
  </w:style>
  <w:style w:type="character" w:styleId="Appelnotedebasdep">
    <w:name w:val="footnote reference"/>
    <w:aliases w:val="Odwołanie przypisu,Footnote symbol"/>
    <w:uiPriority w:val="99"/>
    <w:rsid w:val="00E94CCD"/>
    <w:rPr>
      <w:rFonts w:cs="Times New Roman"/>
      <w:vertAlign w:val="superscript"/>
    </w:rPr>
  </w:style>
  <w:style w:type="paragraph" w:styleId="Paragraphedeliste">
    <w:name w:val="List Paragraph"/>
    <w:basedOn w:val="Normal"/>
    <w:uiPriority w:val="34"/>
    <w:qFormat/>
    <w:rsid w:val="007B230F"/>
    <w:pPr>
      <w:ind w:left="720"/>
      <w:contextualSpacing/>
    </w:pPr>
  </w:style>
  <w:style w:type="character" w:styleId="Marquedecommentaire">
    <w:name w:val="annotation reference"/>
    <w:basedOn w:val="Policepardfaut"/>
    <w:uiPriority w:val="99"/>
    <w:semiHidden/>
    <w:unhideWhenUsed/>
    <w:rsid w:val="0043510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it-IT"/>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Text1"/>
    <w:qFormat/>
    <w:rsid w:val="0048665C"/>
    <w:pPr>
      <w:keepNext/>
      <w:numPr>
        <w:numId w:val="1"/>
      </w:numPr>
      <w:spacing w:before="240" w:after="240"/>
      <w:jc w:val="both"/>
      <w:outlineLvl w:val="0"/>
    </w:pPr>
    <w:rPr>
      <w:b/>
      <w:smallCaps/>
      <w:szCs w:val="20"/>
    </w:rPr>
  </w:style>
  <w:style w:type="paragraph" w:styleId="Heading2">
    <w:name w:val="heading 2"/>
    <w:basedOn w:val="Normal"/>
    <w:next w:val="Normal"/>
    <w:qFormat/>
    <w:rsid w:val="0048665C"/>
    <w:pPr>
      <w:keepNext/>
      <w:numPr>
        <w:ilvl w:val="1"/>
        <w:numId w:val="1"/>
      </w:numPr>
      <w:spacing w:after="240"/>
      <w:jc w:val="both"/>
      <w:outlineLvl w:val="1"/>
    </w:pPr>
    <w:rPr>
      <w:b/>
      <w:szCs w:val="20"/>
    </w:rPr>
  </w:style>
  <w:style w:type="paragraph" w:styleId="Heading3">
    <w:name w:val="heading 3"/>
    <w:basedOn w:val="Normal"/>
    <w:next w:val="Normal"/>
    <w:qFormat/>
    <w:rsid w:val="0048665C"/>
    <w:pPr>
      <w:keepNext/>
      <w:numPr>
        <w:ilvl w:val="2"/>
        <w:numId w:val="1"/>
      </w:numPr>
      <w:spacing w:after="240"/>
      <w:jc w:val="both"/>
      <w:outlineLvl w:val="2"/>
    </w:pPr>
    <w:rPr>
      <w:i/>
      <w:szCs w:val="20"/>
    </w:rPr>
  </w:style>
  <w:style w:type="paragraph" w:styleId="Heading4">
    <w:name w:val="heading 4"/>
    <w:basedOn w:val="Normal"/>
    <w:next w:val="Normal"/>
    <w:qFormat/>
    <w:rsid w:val="0048665C"/>
    <w:pPr>
      <w:keepNext/>
      <w:numPr>
        <w:ilvl w:val="3"/>
        <w:numId w:val="1"/>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8665C"/>
    <w:pPr>
      <w:spacing w:after="240"/>
      <w:ind w:left="482"/>
      <w:jc w:val="both"/>
    </w:pPr>
    <w:rPr>
      <w:szCs w:val="20"/>
    </w:rPr>
  </w:style>
  <w:style w:type="paragraph" w:styleId="Footer">
    <w:name w:val="footer"/>
    <w:basedOn w:val="Normal"/>
    <w:rsid w:val="0048665C"/>
    <w:pPr>
      <w:ind w:right="-567"/>
    </w:pPr>
    <w:rPr>
      <w:rFonts w:ascii="Arial" w:hAnsi="Arial"/>
      <w:sz w:val="16"/>
      <w:szCs w:val="20"/>
    </w:rPr>
  </w:style>
  <w:style w:type="paragraph" w:styleId="Header">
    <w:name w:val="header"/>
    <w:basedOn w:val="Normal"/>
    <w:rsid w:val="0048665C"/>
    <w:pPr>
      <w:tabs>
        <w:tab w:val="center" w:pos="4153"/>
        <w:tab w:val="right" w:pos="8306"/>
      </w:tabs>
      <w:spacing w:after="240"/>
      <w:jc w:val="both"/>
    </w:pPr>
    <w:rPr>
      <w:szCs w:val="20"/>
    </w:rPr>
  </w:style>
  <w:style w:type="paragraph" w:customStyle="1" w:styleId="ListBullet1">
    <w:name w:val="List Bullet 1"/>
    <w:basedOn w:val="Text1"/>
    <w:rsid w:val="0048665C"/>
    <w:pPr>
      <w:numPr>
        <w:numId w:val="2"/>
      </w:numPr>
    </w:pPr>
  </w:style>
  <w:style w:type="paragraph" w:customStyle="1" w:styleId="SectionTitle">
    <w:name w:val="SectionTitle"/>
    <w:basedOn w:val="Normal"/>
    <w:next w:val="Heading1"/>
    <w:rsid w:val="0048665C"/>
    <w:pPr>
      <w:keepNext/>
      <w:spacing w:after="480"/>
      <w:jc w:val="center"/>
    </w:pPr>
    <w:rPr>
      <w:b/>
      <w:smallCaps/>
      <w:sz w:val="28"/>
      <w:szCs w:val="20"/>
    </w:rPr>
  </w:style>
  <w:style w:type="character" w:styleId="Hyperlink">
    <w:name w:val="Hyperlink"/>
    <w:rsid w:val="00D55C5E"/>
    <w:rPr>
      <w:color w:val="0000FF"/>
      <w:u w:val="single"/>
    </w:rPr>
  </w:style>
  <w:style w:type="paragraph" w:customStyle="1" w:styleId="ListDash">
    <w:name w:val="List Dash"/>
    <w:basedOn w:val="Normal"/>
    <w:rsid w:val="00B15217"/>
    <w:pPr>
      <w:tabs>
        <w:tab w:val="num" w:pos="283"/>
        <w:tab w:val="num" w:pos="360"/>
      </w:tabs>
      <w:spacing w:after="240"/>
      <w:ind w:left="283"/>
      <w:jc w:val="both"/>
    </w:pPr>
  </w:style>
  <w:style w:type="paragraph" w:customStyle="1" w:styleId="Text3">
    <w:name w:val="Text 3"/>
    <w:basedOn w:val="Normal"/>
    <w:rsid w:val="00B15217"/>
    <w:pPr>
      <w:tabs>
        <w:tab w:val="left" w:pos="2302"/>
      </w:tabs>
      <w:spacing w:after="240"/>
      <w:ind w:left="1916"/>
      <w:jc w:val="both"/>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sid w:val="00E359D2"/>
  </w:style>
  <w:style w:type="paragraph" w:styleId="CommentSubject">
    <w:name w:val="annotation subject"/>
    <w:basedOn w:val="CommentText"/>
    <w:next w:val="CommentText"/>
    <w:link w:val="CommentSubjectChar"/>
    <w:rsid w:val="00E359D2"/>
    <w:rPr>
      <w:b/>
      <w:bCs/>
    </w:rPr>
  </w:style>
  <w:style w:type="character" w:customStyle="1" w:styleId="CommentSubjectChar">
    <w:name w:val="Comment Subject Char"/>
    <w:link w:val="CommentSubject"/>
    <w:rsid w:val="00E359D2"/>
    <w:rPr>
      <w:b/>
      <w:bCs/>
    </w:rPr>
  </w:style>
  <w:style w:type="paragraph" w:styleId="BalloonText">
    <w:name w:val="Balloon Text"/>
    <w:basedOn w:val="Normal"/>
    <w:link w:val="BalloonTextChar"/>
    <w:rsid w:val="00E359D2"/>
    <w:rPr>
      <w:rFonts w:ascii="Tahoma" w:hAnsi="Tahoma" w:cs="Tahoma"/>
      <w:sz w:val="16"/>
      <w:szCs w:val="16"/>
    </w:rPr>
  </w:style>
  <w:style w:type="character" w:customStyle="1" w:styleId="BalloonTextChar">
    <w:name w:val="Balloon Text Char"/>
    <w:link w:val="BalloonText"/>
    <w:rsid w:val="00E359D2"/>
    <w:rPr>
      <w:rFonts w:ascii="Tahoma" w:hAnsi="Tahoma" w:cs="Tahoma"/>
      <w:sz w:val="16"/>
      <w:szCs w:val="16"/>
    </w:rPr>
  </w:style>
  <w:style w:type="character" w:styleId="FollowedHyperlink">
    <w:name w:val="FollowedHyperlink"/>
    <w:rsid w:val="003D307B"/>
    <w:rPr>
      <w:color w:val="800080"/>
      <w:u w:val="single"/>
    </w:rPr>
  </w:style>
  <w:style w:type="paragraph" w:styleId="FootnoteText">
    <w:name w:val="footnote text"/>
    <w:aliases w:val="Schriftart: 9 pt,Schriftart: 10 pt,Schriftart: 8 pt,WB-Fußnotentext,Tekst przypisu"/>
    <w:basedOn w:val="Normal"/>
    <w:link w:val="FootnoteTextChar"/>
    <w:rsid w:val="00E94CCD"/>
    <w:rPr>
      <w:sz w:val="20"/>
      <w:szCs w:val="20"/>
    </w:rPr>
  </w:style>
  <w:style w:type="character" w:customStyle="1" w:styleId="FootnoteTextChar">
    <w:name w:val="Footnote Text Char"/>
    <w:aliases w:val="Schriftart: 9 pt Char,Schriftart: 10 pt Char,Schriftart: 8 pt Char,WB-Fußnotentext Char,Tekst przypisu Char"/>
    <w:basedOn w:val="DefaultParagraphFont"/>
    <w:link w:val="FootnoteText"/>
    <w:rsid w:val="00E94CCD"/>
  </w:style>
  <w:style w:type="character" w:styleId="FootnoteReference">
    <w:name w:val="footnote reference"/>
    <w:aliases w:val="Odwołanie przypisu,Footnote symbol"/>
    <w:uiPriority w:val="99"/>
    <w:rsid w:val="00E94CCD"/>
    <w:rPr>
      <w:rFonts w:cs="Times New Roman"/>
      <w:vertAlign w:val="superscript"/>
    </w:rPr>
  </w:style>
  <w:style w:type="paragraph" w:styleId="ListParagraph">
    <w:name w:val="List Paragraph"/>
    <w:basedOn w:val="Normal"/>
    <w:uiPriority w:val="34"/>
    <w:qFormat/>
    <w:rsid w:val="007B230F"/>
    <w:pPr>
      <w:ind w:left="720"/>
      <w:contextualSpacing/>
    </w:p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cea.ec.europa.eu/creative-europe/funding/development-slate-funding-2016_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830A1490D5E40A558258AB2C2175A" ma:contentTypeVersion="1" ma:contentTypeDescription="Create a new document." ma:contentTypeScope="" ma:versionID="3db6c307ef46d3a691a0f8e0d79b66ee">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27D08ED6-F98D-4CA0-ABCE-CA8F9C235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B3DDA-4006-4FC8-81E2-24D8B5E424CD}">
  <ds:schemaRefs>
    <ds:schemaRef ds:uri="http://schemas.microsoft.com/sharepoint/v3/contenttype/forms"/>
  </ds:schemaRefs>
</ds:datastoreItem>
</file>

<file path=customXml/itemProps3.xml><?xml version="1.0" encoding="utf-8"?>
<ds:datastoreItem xmlns:ds="http://schemas.openxmlformats.org/officeDocument/2006/customXml" ds:itemID="{87ED34ED-DE2E-4F06-8397-2A70D5678B6C}">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1137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CALL FOR PROPOSALS – DG EAC N° 87/2004</vt:lpstr>
    </vt:vector>
  </TitlesOfParts>
  <Company>European Commission</Company>
  <LinksUpToDate>false</LinksUpToDate>
  <CharactersWithSpaces>7378</CharactersWithSpaces>
  <SharedDoc>false</SharedDoc>
  <HLinks>
    <vt:vector size="6" baseType="variant">
      <vt:variant>
        <vt:i4>6815775</vt:i4>
      </vt:variant>
      <vt:variant>
        <vt:i4>0</vt:i4>
      </vt:variant>
      <vt:variant>
        <vt:i4>0</vt:i4>
      </vt:variant>
      <vt:variant>
        <vt:i4>5</vt:i4>
      </vt:variant>
      <vt:variant>
        <vt:lpwstr>https://eacea.ec.europa.eu/creative-europe/funding/development-slate-funding-2016_en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 DG EAC N° 87/2004</dc:title>
  <dc:creator>Catharina Nes</dc:creator>
  <cp:lastModifiedBy>i.giannico</cp:lastModifiedBy>
  <cp:revision>2</cp:revision>
  <cp:lastPrinted>2013-11-22T07:58:00Z</cp:lastPrinted>
  <dcterms:created xsi:type="dcterms:W3CDTF">2015-10-28T15:18:00Z</dcterms:created>
  <dcterms:modified xsi:type="dcterms:W3CDTF">2015-10-28T15:18:00Z</dcterms:modified>
</cp:coreProperties>
</file>